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val="0"/>
        <w:topLinePunct/>
        <w:autoSpaceDE w:val="0"/>
        <w:autoSpaceDN w:val="0"/>
        <w:bidi w:val="0"/>
        <w:snapToGrid/>
        <w:jc w:val="center"/>
        <w:rPr>
          <w:rFonts w:ascii="Times New Roman" w:hAnsi="Times New Roman" w:eastAsia="华文中宋" w:cs="Times New Roman"/>
          <w:b/>
          <w:bCs/>
          <w:sz w:val="36"/>
          <w:szCs w:val="36"/>
        </w:rPr>
      </w:pPr>
    </w:p>
    <w:p>
      <w:pPr>
        <w:pageBreakBefore w:val="0"/>
        <w:widowControl w:val="0"/>
        <w:kinsoku/>
        <w:wordWrap/>
        <w:overflowPunct w:val="0"/>
        <w:topLinePunct/>
        <w:autoSpaceDE w:val="0"/>
        <w:autoSpaceDN w:val="0"/>
        <w:bidi w:val="0"/>
        <w:snapToGrid/>
        <w:jc w:val="center"/>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《智慧渔场机械化建设指南  第1部分：工厂化养殖》</w:t>
      </w:r>
    </w:p>
    <w:p>
      <w:pPr>
        <w:pageBreakBefore w:val="0"/>
        <w:widowControl w:val="0"/>
        <w:kinsoku/>
        <w:wordWrap/>
        <w:overflowPunct w:val="0"/>
        <w:topLinePunct/>
        <w:autoSpaceDE w:val="0"/>
        <w:autoSpaceDN w:val="0"/>
        <w:bidi w:val="0"/>
        <w:snapToGrid/>
        <w:jc w:val="center"/>
        <w:rPr>
          <w:rFonts w:ascii="Times New Roman" w:hAnsi="Times New Roman" w:eastAsia="华文中宋" w:cs="Times New Roman"/>
          <w:b/>
          <w:bCs/>
          <w:sz w:val="36"/>
          <w:szCs w:val="36"/>
        </w:rPr>
      </w:pPr>
      <w:r>
        <w:rPr>
          <w:rFonts w:ascii="Times New Roman" w:hAnsi="Times New Roman" w:eastAsia="华文中宋" w:cs="Times New Roman"/>
          <w:b/>
          <w:bCs/>
          <w:sz w:val="36"/>
          <w:szCs w:val="36"/>
        </w:rPr>
        <w:t>农业行业标准编制说明</w:t>
      </w:r>
      <w:r>
        <w:rPr>
          <w:rFonts w:ascii="Times New Roman" w:hAnsi="Times New Roman" w:eastAsia="华文中宋" w:cs="Times New Roman"/>
          <w:b/>
          <w:bCs/>
          <w:sz w:val="36"/>
          <w:szCs w:val="36"/>
        </w:rPr>
        <w:br w:type="textWrapping"/>
      </w:r>
    </w:p>
    <w:p>
      <w:pPr>
        <w:pStyle w:val="3"/>
        <w:pageBreakBefore w:val="0"/>
        <w:widowControl w:val="0"/>
        <w:kinsoku/>
        <w:wordWrap/>
        <w:overflowPunct/>
        <w:topLinePunct w:val="0"/>
        <w:autoSpaceDE/>
        <w:autoSpaceDN/>
        <w:bidi w:val="0"/>
        <w:snapToGrid/>
        <w:spacing w:before="0" w:after="0" w:line="240" w:lineRule="auto"/>
        <w:ind w:firstLine="640" w:firstLineChars="200"/>
        <w:rPr>
          <w:rFonts w:ascii="Times New Roman" w:hAnsi="Times New Roman" w:eastAsia="黑体" w:cs="Times New Roman"/>
          <w:b w:val="0"/>
          <w:sz w:val="32"/>
          <w:szCs w:val="32"/>
        </w:rPr>
      </w:pPr>
      <w:r>
        <w:rPr>
          <w:rFonts w:ascii="Times New Roman" w:hAnsi="Times New Roman" w:eastAsia="黑体" w:cs="Times New Roman"/>
          <w:b w:val="0"/>
          <w:sz w:val="32"/>
          <w:szCs w:val="32"/>
        </w:rPr>
        <w:t>一、工作简况</w:t>
      </w:r>
    </w:p>
    <w:p>
      <w:pPr>
        <w:pStyle w:val="4"/>
        <w:pageBreakBefore w:val="0"/>
        <w:widowControl w:val="0"/>
        <w:kinsoku/>
        <w:wordWrap/>
        <w:overflowPunct/>
        <w:topLinePunct w:val="0"/>
        <w:autoSpaceDE/>
        <w:autoSpaceDN/>
        <w:bidi w:val="0"/>
        <w:snapToGrid/>
        <w:spacing w:before="0" w:after="0" w:line="240" w:lineRule="auto"/>
        <w:ind w:firstLine="642"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（一）任务来源</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根据农业农村部农产品质量安全监管司《关于下达 2024年农业国家和行业标准制修订项目计划的通知》（农质标函〔2024〕71号），农业农村部农业机械化总站牵头承担《智慧渔场机械化建设指南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第1部分：工厂化养殖》农业行业标准的制定工作（项目编号NYB-24399）。协作单位：中国农业大学、中国水产科学研究院渔业机械仪器研究所、全国水产技术推广总站、江苏省农机具开发应用中心、莱州明波水产有限公司、重庆市农业科学院、农芯科技（北京）有限责任公司；技术归口单位：全国农业机械标准化技术委员会农业机械化分技术委员会。</w:t>
      </w:r>
    </w:p>
    <w:p>
      <w:pPr>
        <w:pStyle w:val="4"/>
        <w:pageBreakBefore w:val="0"/>
        <w:widowControl w:val="0"/>
        <w:kinsoku/>
        <w:wordWrap/>
        <w:overflowPunct/>
        <w:topLinePunct w:val="0"/>
        <w:autoSpaceDE/>
        <w:autoSpaceDN/>
        <w:bidi w:val="0"/>
        <w:snapToGrid/>
        <w:spacing w:before="0" w:after="0" w:line="240" w:lineRule="auto"/>
        <w:ind w:firstLine="642"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（二）制定背景</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总书记2023年4月在广东考察时指出：“要大力发展深海养殖装备和智慧渔业”。推进渔业现代化是全面推进乡村振兴，加快建设农业强国的必然要求，智慧渔业是渔业现代化的技术支撑，智慧渔场建设是推动渔业现代化的重要抓手，机械化是智慧渔场建设的重要内容和载体。2024年农业农村部发布《关于大力发展智慧农业的指导意见》（农市发</w:t>
      </w:r>
      <w:r>
        <w:rPr>
          <w:rFonts w:hint="eastAsia" w:ascii="仿宋_GB2312" w:hAnsi="仿宋_GB2312" w:eastAsia="仿宋_GB2312" w:cs="仿宋_GB2312"/>
          <w:sz w:val="32"/>
          <w:szCs w:val="32"/>
        </w:rPr>
        <w:t>〔2024〕</w:t>
      </w:r>
      <w:r>
        <w:rPr>
          <w:rFonts w:hint="eastAsia" w:ascii="仿宋_GB2312" w:hAnsi="仿宋_GB2312" w:eastAsia="仿宋_GB2312" w:cs="仿宋_GB2312"/>
          <w:sz w:val="32"/>
          <w:szCs w:val="32"/>
        </w:rPr>
        <w:t>3号），指出要推进渔业生产智能化，以规模化淡水养殖为重点,加快推进池塘、工厂化、大水面等养殖模式数字化改造,因地制宜应用鱼群生长监测、智能增氧、饲料精准投喂、鱼病诊断防控、循环水处理等设施设备</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五”全国农业农村信息化发展规划》明确指出要发展智慧渔业，“推进智慧渔场建设，加快池塘、工厂化循环水、深水网箱、鱼菜共生等养殖模式的数字化改造，推进水质在线监测、智能增氧、精准饲喂、尾水处理、疫病防控、水产品分级分拣等技术应用”。《数字乡村标准体系建设指南》明确智慧渔业标准要“重点开展水质在线监测、智能增氧、精准饲喂、尾水处理、疫病防控、水产品分级分拣等方面的技术应用标准研制。《“十四五”全国农业机械化发展规划》提出，到2025年，水产养殖机械化率总体达到50%以上，工厂化循环水养殖基本实现机械化。要推进水产养殖装备信息化、智能化，促进智慧农业示范应用。</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智慧渔场是渔业现代化发展的必然趋势，对全程机械化养殖技术和养殖设备智能化需求迫切。但是，目前关于智慧渔场机械化建设方面一直缺少相关行业标准，亟需制定工厂化养殖机械化建设指南。</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《智慧渔场机械化建设指南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第1部分：工厂化养殖》农业行业标准的制定与实施，</w:t>
      </w:r>
      <w:r>
        <w:rPr>
          <w:rFonts w:hint="eastAsia" w:ascii="仿宋_GB2312" w:hAnsi="仿宋_GB2312" w:eastAsia="仿宋_GB2312" w:cs="仿宋_GB2312"/>
          <w:kern w:val="0"/>
          <w:sz w:val="32"/>
          <w:szCs w:val="32"/>
        </w:rPr>
        <w:t>有助于引领推动智慧渔场工厂化养殖场机械化建设，实现数字化、智能化、无人化生产，提高生产效率和质量，降低生产成本和劳动强度，实现绿色环保和高效运营，同时提高生产过程的可追溯性，确保食品安全和质量。</w:t>
      </w:r>
    </w:p>
    <w:p>
      <w:pPr>
        <w:pStyle w:val="4"/>
        <w:pageBreakBefore w:val="0"/>
        <w:widowControl w:val="0"/>
        <w:kinsoku/>
        <w:wordWrap/>
        <w:overflowPunct/>
        <w:topLinePunct w:val="0"/>
        <w:autoSpaceDE/>
        <w:autoSpaceDN/>
        <w:bidi w:val="0"/>
        <w:snapToGrid/>
        <w:spacing w:before="0" w:after="0" w:line="240" w:lineRule="auto"/>
        <w:ind w:firstLine="642"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（三）</w:t>
      </w:r>
      <w:r>
        <w:rPr>
          <w:rFonts w:hint="eastAsia" w:ascii="Times New Roman" w:hAnsi="Times New Roman" w:eastAsia="楷体_GB2312" w:cs="Times New Roman"/>
          <w:sz w:val="32"/>
          <w:szCs w:val="32"/>
        </w:rPr>
        <w:t>起草</w:t>
      </w:r>
      <w:r>
        <w:rPr>
          <w:rFonts w:ascii="Times New Roman" w:hAnsi="Times New Roman" w:eastAsia="楷体_GB2312" w:cs="Times New Roman"/>
          <w:sz w:val="32"/>
          <w:szCs w:val="32"/>
        </w:rPr>
        <w:t>过程</w:t>
      </w:r>
    </w:p>
    <w:p>
      <w:pPr>
        <w:pageBreakBefore w:val="0"/>
        <w:widowControl w:val="0"/>
        <w:kinsoku/>
        <w:wordWrap/>
        <w:overflowPunct/>
        <w:topLinePunct w:val="0"/>
        <w:autoSpaceDE/>
        <w:autoSpaceDN/>
        <w:bidi w:val="0"/>
        <w:snapToGrid/>
        <w:spacing w:line="240" w:lineRule="auto"/>
        <w:ind w:firstLine="642" w:firstLineChars="200"/>
        <w:rPr>
          <w:rFonts w:ascii="Times New Roman" w:hAnsi="Times New Roman" w:eastAsia="仿宋_GB2312" w:cs="Times New Roman"/>
          <w:color w:val="000000"/>
          <w:sz w:val="32"/>
          <w:szCs w:val="32"/>
        </w:rPr>
      </w:pPr>
      <w:r>
        <w:rPr>
          <w:rFonts w:ascii="Times New Roman" w:hAnsi="Times New Roman" w:eastAsia="仿宋_GB2312" w:cs="Times New Roman"/>
          <w:b/>
          <w:bCs/>
          <w:color w:val="000000"/>
          <w:sz w:val="32"/>
          <w:szCs w:val="32"/>
        </w:rPr>
        <w:t>起草（草案、调研）阶段。</w:t>
      </w:r>
      <w:r>
        <w:rPr>
          <w:rFonts w:ascii="Times New Roman" w:hAnsi="Times New Roman" w:eastAsia="仿宋_GB2312" w:cs="Times New Roman"/>
          <w:color w:val="000000"/>
          <w:sz w:val="32"/>
          <w:szCs w:val="32"/>
        </w:rPr>
        <w:t>标准制定计划下达后，项目牵头单位联合各协作单位，组织技术骨干成立标准起草工作组，研究制定了标准制修订项目实施方案，并严格按照农业行业标准制修订工作程序和要求开展标准起草工作。标准起草工作组查阅了有关资料，先后赴上海、山东、湖北、海南等地开展实地调研，深入了解我国工厂化养殖机械化发展情况与趋势，</w:t>
      </w:r>
      <w:r>
        <w:rPr>
          <w:rFonts w:hint="eastAsia" w:ascii="Times New Roman" w:hAnsi="Times New Roman" w:eastAsia="仿宋_GB2312" w:cs="Times New Roman"/>
          <w:color w:val="000000"/>
          <w:sz w:val="32"/>
          <w:szCs w:val="32"/>
        </w:rPr>
        <w:t>广泛听取了农机管理部门、农机化技术推广机构、农业大学、农业科研院所和养殖企业的意见，在此基础上，</w:t>
      </w:r>
      <w:r>
        <w:rPr>
          <w:rFonts w:hint="eastAsia" w:ascii="仿宋_GB2312" w:hAnsi="仿宋_GB2312" w:eastAsia="仿宋_GB2312" w:cs="仿宋_GB2312"/>
          <w:color w:val="000000"/>
          <w:sz w:val="32"/>
          <w:szCs w:val="32"/>
        </w:rPr>
        <w:t>起草了标准初稿。本标准制定过程中参考的资料和文件见表1。</w:t>
      </w:r>
    </w:p>
    <w:p>
      <w:pPr>
        <w:pStyle w:val="2"/>
        <w:pageBreakBefore w:val="0"/>
        <w:widowControl w:val="0"/>
        <w:kinsoku/>
        <w:wordWrap/>
        <w:overflowPunct/>
        <w:topLinePunct w:val="0"/>
        <w:autoSpaceDE/>
        <w:autoSpaceDN/>
        <w:bidi w:val="0"/>
        <w:snapToGrid/>
        <w:spacing w:line="240" w:lineRule="auto"/>
        <w:ind w:left="420"/>
        <w:rPr>
          <w:sz w:val="32"/>
          <w:szCs w:val="32"/>
        </w:rPr>
      </w:pPr>
      <w:r>
        <w:rPr>
          <w:sz w:val="32"/>
          <w:szCs w:val="32"/>
        </w:rPr>
        <w:br w:type="page"/>
      </w:r>
    </w:p>
    <w:p>
      <w:pPr>
        <w:pageBreakBefore w:val="0"/>
        <w:widowControl w:val="0"/>
        <w:kinsoku/>
        <w:wordWrap/>
        <w:overflowPunct/>
        <w:topLinePunct w:val="0"/>
        <w:autoSpaceDE/>
        <w:autoSpaceDN/>
        <w:bidi w:val="0"/>
        <w:snapToGrid/>
        <w:spacing w:line="240" w:lineRule="auto"/>
        <w:jc w:val="center"/>
        <w:rPr>
          <w:rFonts w:hint="eastAsia" w:ascii="宋体" w:hAnsi="宋体" w:eastAsia="宋体" w:cs="宋体"/>
          <w:sz w:val="32"/>
          <w:szCs w:val="32"/>
        </w:rPr>
      </w:pPr>
      <w:r>
        <w:rPr>
          <w:rFonts w:hint="eastAsia" w:ascii="宋体" w:hAnsi="宋体" w:eastAsia="宋体" w:cs="宋体"/>
          <w:sz w:val="32"/>
          <w:szCs w:val="32"/>
        </w:rPr>
        <w:t>表1 参考的相关资料和文件</w:t>
      </w: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7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序号</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资料文件名称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1</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《农业农村部关于大力发展智慧农业的指导意见》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2</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《全国智慧农业行动计划(2024—2028年)》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3</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sz w:val="21"/>
                <w:szCs w:val="21"/>
              </w:rPr>
              <w:t>《地方水产养殖业水污染物排放控制标准制订技术导则》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4</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GB/T 20014.15—2013 良好农业规范 第15部分：水产工厂化养殖基础控制点与符合性规范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5</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GB/T 20984 信息安全技术 信息安全风险评估方法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6</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GB/T 22239 信息安全技术 网络安全等级保护基本要求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7</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GB/T 37024 信息安全技术 物联网感知层网关安全技术要求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8</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 xml:space="preserve">GB/T 37025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"javascript:void(0)" </w:instrText>
            </w:r>
            <w:r>
              <w:rPr>
                <w:rFonts w:hint="eastAsia" w:ascii="宋体" w:hAnsi="宋体" w:eastAsia="宋体" w:cs="宋体"/>
                <w:sz w:val="21"/>
                <w:szCs w:val="21"/>
              </w:rPr>
              <w:fldChar w:fldCharType="separate"/>
            </w:r>
            <w:r>
              <w:rPr>
                <w:rFonts w:hint="eastAsia" w:ascii="宋体" w:hAnsi="宋体" w:eastAsia="宋体" w:cs="宋体"/>
                <w:color w:val="000000" w:themeColor="text1"/>
                <w:sz w:val="21"/>
                <w:szCs w:val="21"/>
              </w:rPr>
              <w:t>信息安全技术 物联网数据传输安全技术要求</w:t>
            </w:r>
            <w:r>
              <w:rPr>
                <w:rFonts w:hint="eastAsia" w:ascii="宋体" w:hAnsi="宋体" w:eastAsia="宋体" w:cs="宋体"/>
                <w:color w:val="000000" w:themeColor="text1"/>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9</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GB/T 43744 水产养殖环境监控系统通用技术要求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10</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GB 50174 数据中心设计规范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11</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SC/T 6040 水产品工厂化养殖装备安全卫生要求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12</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SC/T 6050 水产养殖电气设备安全要求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6" w:type="pct"/>
            <w:vAlign w:val="center"/>
          </w:tcPr>
          <w:p>
            <w:pPr>
              <w:pStyle w:val="2"/>
              <w:pageBreakBefore w:val="0"/>
              <w:widowControl w:val="0"/>
              <w:kinsoku/>
              <w:wordWrap/>
              <w:overflowPunct/>
              <w:topLinePunct w:val="0"/>
              <w:autoSpaceDE/>
              <w:autoSpaceDN/>
              <w:bidi w:val="0"/>
              <w:snapToGrid/>
              <w:spacing w:line="240" w:lineRule="auto"/>
              <w:ind w:left="0" w:leftChars="0"/>
              <w:jc w:val="center"/>
              <w:rPr>
                <w:rFonts w:hint="eastAsia" w:ascii="宋体" w:hAnsi="宋体" w:eastAsia="宋体" w:cs="宋体"/>
                <w:sz w:val="21"/>
                <w:szCs w:val="21"/>
              </w:rPr>
            </w:pPr>
            <w:r>
              <w:rPr>
                <w:rFonts w:hint="eastAsia" w:ascii="宋体" w:hAnsi="宋体" w:eastAsia="宋体" w:cs="宋体"/>
                <w:sz w:val="21"/>
                <w:szCs w:val="21"/>
              </w:rPr>
              <w:t>13</w:t>
            </w:r>
          </w:p>
        </w:tc>
        <w:tc>
          <w:tcPr>
            <w:tcW w:w="4373" w:type="pct"/>
            <w:vAlign w:val="center"/>
          </w:tcPr>
          <w:p>
            <w:pPr>
              <w:pStyle w:val="2"/>
              <w:pageBreakBefore w:val="0"/>
              <w:widowControl w:val="0"/>
              <w:kinsoku/>
              <w:wordWrap/>
              <w:overflowPunct/>
              <w:topLinePunct w:val="0"/>
              <w:autoSpaceDE/>
              <w:autoSpaceDN/>
              <w:bidi w:val="0"/>
              <w:snapToGrid/>
              <w:spacing w:line="240" w:lineRule="auto"/>
              <w:ind w:left="0" w:leftChars="0"/>
              <w:jc w:val="both"/>
              <w:rPr>
                <w:rFonts w:hint="eastAsia" w:ascii="宋体" w:hAnsi="宋体" w:eastAsia="宋体" w:cs="宋体"/>
                <w:sz w:val="21"/>
                <w:szCs w:val="21"/>
              </w:rPr>
            </w:pPr>
            <w:r>
              <w:rPr>
                <w:rFonts w:hint="eastAsia" w:ascii="宋体" w:hAnsi="宋体" w:eastAsia="宋体" w:cs="宋体"/>
                <w:color w:val="000000" w:themeColor="text1"/>
                <w:sz w:val="21"/>
                <w:szCs w:val="21"/>
              </w:rPr>
              <w:t>SC/T 6093 工厂化循环水养殖车间设计规范</w:t>
            </w:r>
          </w:p>
        </w:tc>
      </w:tr>
    </w:tbl>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6月，标准起草工作组召开视频会议，标准起草工作组成员参加会议。会议对标准的功能定位、框架结构、主体内容等进行了充分讨论，并进一步修改完善，形成了标准征求意见稿第一稿。2024年7月，标准起草工作组在湖北武汉组织召开了专家征求意见会议，邀请有关专家对标准工作组讨论稿进行了讨论，形成了标准征求意见稿第二稿。2024年10月，标准起草工作组分别赴上海城市电力发展有限公司养殖基地（崇明）工厂化循环水车间和山东莱州明波水产有限公司在工厂化养殖车间进行实地调研验证。结合专家意见建议和实地调研情况，标准起草工作组进一步修改完善，形成了标准征求意见稿。</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征求意见阶段：</w:t>
      </w:r>
      <w:r>
        <w:rPr>
          <w:rFonts w:hint="eastAsia" w:ascii="仿宋_GB2312" w:hAnsi="仿宋_GB2312" w:eastAsia="仿宋_GB2312" w:cs="仿宋_GB2312"/>
          <w:sz w:val="32"/>
          <w:szCs w:val="32"/>
        </w:rPr>
        <w:t>2024年11月，农业农村部农业机械化总站发文，在中国农业机械化信息网上面向社会公开征求意见。同时，组织征求中国农业机械化协会畜牧水产分会会员单位意见。</w:t>
      </w:r>
    </w:p>
    <w:p>
      <w:pPr>
        <w:pStyle w:val="2"/>
        <w:keepNext w:val="0"/>
        <w:keepLines w:val="0"/>
        <w:pageBreakBefore w:val="0"/>
        <w:widowControl w:val="0"/>
        <w:kinsoku/>
        <w:wordWrap/>
        <w:overflowPunct/>
        <w:topLinePunct w:val="0"/>
        <w:autoSpaceDE/>
        <w:autoSpaceDN/>
        <w:bidi w:val="0"/>
        <w:adjustRightInd/>
        <w:snapToGrid/>
        <w:spacing w:after="0" w:line="240" w:lineRule="auto"/>
        <w:ind w:left="4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审查阶段：</w:t>
      </w:r>
    </w:p>
    <w:p>
      <w:pPr>
        <w:pStyle w:val="2"/>
        <w:keepNext w:val="0"/>
        <w:keepLines w:val="0"/>
        <w:pageBreakBefore w:val="0"/>
        <w:widowControl w:val="0"/>
        <w:kinsoku/>
        <w:wordWrap/>
        <w:overflowPunct/>
        <w:topLinePunct w:val="0"/>
        <w:autoSpaceDE/>
        <w:autoSpaceDN/>
        <w:bidi w:val="0"/>
        <w:adjustRightInd/>
        <w:snapToGrid/>
        <w:spacing w:after="0" w:line="240" w:lineRule="auto"/>
        <w:ind w:left="4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报批阶段：</w:t>
      </w:r>
    </w:p>
    <w:p>
      <w:pPr>
        <w:pStyle w:val="4"/>
        <w:pageBreakBefore w:val="0"/>
        <w:widowControl w:val="0"/>
        <w:kinsoku/>
        <w:wordWrap/>
        <w:overflowPunct/>
        <w:topLinePunct w:val="0"/>
        <w:autoSpaceDE/>
        <w:autoSpaceDN/>
        <w:bidi w:val="0"/>
        <w:snapToGrid/>
        <w:spacing w:before="0" w:after="0" w:line="240" w:lineRule="auto"/>
        <w:ind w:firstLine="642"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 xml:space="preserve">（四）标准主要起草人及其所做的工作 </w:t>
      </w:r>
    </w:p>
    <w:p>
      <w:pPr>
        <w:pageBreakBefore w:val="0"/>
        <w:widowControl w:val="0"/>
        <w:kinsoku/>
        <w:wordWrap/>
        <w:overflowPunct/>
        <w:topLinePunct w:val="0"/>
        <w:autoSpaceDE/>
        <w:autoSpaceDN/>
        <w:bidi w:val="0"/>
        <w:snapToGrid/>
        <w:spacing w:line="240" w:lineRule="auto"/>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000000"/>
          <w:sz w:val="32"/>
          <w:szCs w:val="32"/>
        </w:rPr>
        <w:t>本标准主要起草人共有1</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人：金红伟、李道亮、周小燕、赵然、倪琦、张宇雷、</w:t>
      </w:r>
      <w:r>
        <w:rPr>
          <w:rFonts w:hint="eastAsia" w:ascii="仿宋_GB2312" w:hAnsi="仿宋_GB2312" w:eastAsia="仿宋_GB2312" w:cs="仿宋_GB2312"/>
          <w:sz w:val="32"/>
          <w:szCs w:val="32"/>
        </w:rPr>
        <w:t>朱虹、沈启扬、李</w:t>
      </w:r>
      <w:r>
        <w:rPr>
          <w:rFonts w:hint="eastAsia" w:ascii="仿宋_GB2312" w:hAnsi="仿宋_GB2312" w:eastAsia="仿宋_GB2312" w:cs="仿宋_GB2312"/>
          <w:color w:val="000000"/>
          <w:sz w:val="32"/>
          <w:szCs w:val="32"/>
        </w:rPr>
        <w:t>文升、李明爽、高立洪、赵贤德。根据任务分工，标准起草工作组成员均参与了标准前期调研、资料收集和初稿起草等工作。金红伟、李道亮主要负责标准整体结构设计、主要技术内容确定以及征求意见汇总处理等；周小燕、赵然主要负责起草标准初稿、组织召开标准起草组会议、专家征求意见会议，组织开展标准调研与验证、公开征求意见并进行汇总处理，修改形成标准征求意见稿、送审稿和报批材料等；倪琦、张宇雷、</w:t>
      </w:r>
      <w:r>
        <w:rPr>
          <w:rFonts w:hint="eastAsia" w:ascii="仿宋_GB2312" w:hAnsi="仿宋_GB2312" w:eastAsia="仿宋_GB2312" w:cs="仿宋_GB2312"/>
          <w:sz w:val="32"/>
          <w:szCs w:val="32"/>
        </w:rPr>
        <w:t>朱虹、沈启扬、</w:t>
      </w:r>
      <w:r>
        <w:rPr>
          <w:rFonts w:hint="eastAsia" w:ascii="仿宋_GB2312" w:hAnsi="仿宋_GB2312" w:eastAsia="仿宋_GB2312" w:cs="仿宋_GB2312"/>
          <w:color w:val="000000"/>
          <w:sz w:val="32"/>
          <w:szCs w:val="32"/>
        </w:rPr>
        <w:t>李文升负责修改标准征求意见稿和送审稿，参与标准调研与验证；李明爽、高立洪、赵贤德参与形成修改标准征求意见稿和送审稿。</w:t>
      </w:r>
    </w:p>
    <w:p>
      <w:pPr>
        <w:pStyle w:val="3"/>
        <w:pageBreakBefore w:val="0"/>
        <w:widowControl w:val="0"/>
        <w:kinsoku/>
        <w:wordWrap/>
        <w:overflowPunct/>
        <w:topLinePunct w:val="0"/>
        <w:autoSpaceDE/>
        <w:autoSpaceDN/>
        <w:bidi w:val="0"/>
        <w:snapToGrid/>
        <w:spacing w:before="0" w:after="0" w:line="240" w:lineRule="auto"/>
        <w:ind w:firstLine="640" w:firstLineChars="200"/>
        <w:rPr>
          <w:rFonts w:ascii="Times New Roman" w:hAnsi="Times New Roman" w:eastAsia="黑体" w:cs="Times New Roman"/>
          <w:b w:val="0"/>
          <w:sz w:val="32"/>
          <w:szCs w:val="32"/>
        </w:rPr>
      </w:pPr>
      <w:r>
        <w:rPr>
          <w:rFonts w:ascii="Times New Roman" w:hAnsi="Times New Roman" w:eastAsia="黑体" w:cs="Times New Roman"/>
          <w:b w:val="0"/>
          <w:sz w:val="32"/>
          <w:szCs w:val="32"/>
        </w:rPr>
        <w:t>二、标准编制原则、主要内容及其确定依据</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（一）标准编制原则</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本标准贯彻落实党中央、国务院有关决策部署和农业农村部有关工作要求，与现行有关法律法规和相关标准协调一致，同时符合我国工厂化养殖机械化建设现状及发展趋势。</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本标准的编写格式符合《标准化工作导则  第1部分：标准化文件的结构和起草规则》（GB/T 1.1—2020）《标准编写规则 第7部分：指南标准》（GB/T 20001.7—2017）的要求。根据《标准编写规则  第7部分：指南标准》（GB/T 20001.7—2017）的规定，指南标准是以适当的背景知识提供某主题的普遍性、原则性、方向性的指导，或者同时给出相关建议或信息的标准。</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（二）标准主要内容及其确定依据</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本标准共8章，包括范围、规范性引用文件、术语和定义、总体原则、基础设施建设、机械化建设、数字化管理平台和运行维护。</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1.范围。</w:t>
      </w:r>
      <w:r>
        <w:rPr>
          <w:rFonts w:hint="eastAsia" w:ascii="仿宋_GB2312" w:hAnsi="仿宋_GB2312" w:eastAsia="仿宋_GB2312" w:cs="仿宋_GB2312"/>
          <w:sz w:val="32"/>
          <w:szCs w:val="32"/>
        </w:rPr>
        <w:t>范围应对标准中的主要技术内容做出提要式的说明，指明涉及了哪些需考虑的因素，指出包含哪方面指导，给出哪些建议或信息。结合本标准的主要技术内容，规定了智慧渔场工厂化养殖机械化建设的总体原则、基础设施建设、机械化建设、数字化管理平台和运行维护的指导建议，并给出了相关信息，适用于智慧渔场的建设。工厂化养殖建设适用于工厂化流水养殖和工厂化循环水养殖。</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2.规范性引用文件。</w:t>
      </w:r>
      <w:r>
        <w:rPr>
          <w:rFonts w:hint="eastAsia" w:ascii="仿宋_GB2312" w:hAnsi="仿宋_GB2312" w:eastAsia="仿宋_GB2312" w:cs="仿宋_GB2312"/>
          <w:sz w:val="32"/>
          <w:szCs w:val="32"/>
        </w:rPr>
        <w:t>本章列出了本标准引用的相关国家标准和行业标准。包括良好农业规范 第15部分：水产工厂化养殖基础控制点与符合性规范（GB/T 20014.15—2013）、信息安全技术 信息安全风险评估方法（GB/T 20984）、信息安全技术 网络安全等级保护基本要求（GB/T 22239）、信息安全技术 物联网感知层网关安全技术要求（GB/T 37024）、</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HYPERLINK "javascript:void(0)"</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信息安全技术 物联网数据传输安全技术要求</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（GB/T 37025）、GB/T 43744 水产养殖环境监控系统通用技术要求（GB/T 37025）、数据中心设计规范（GB 50174）、水产品工厂化养殖装备安全卫生要求（SC/T 6040）、水产养殖电气设备安全要求（SC/T 6050）、工厂化循环水养殖车间设计规范（SC/T 6093）、鱼类养殖精准投饲系统通用技术要求（SC/T 6106）。</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3.术语和定义。</w:t>
      </w:r>
      <w:r>
        <w:rPr>
          <w:rFonts w:hint="eastAsia" w:ascii="仿宋_GB2312" w:hAnsi="仿宋_GB2312" w:eastAsia="仿宋_GB2312" w:cs="仿宋_GB2312"/>
          <w:sz w:val="32"/>
          <w:szCs w:val="32"/>
        </w:rPr>
        <w:t>本章给出了为理解本标准中某些术语所必需的定义。包括智慧渔场、工厂化养殖、智慧渔场管理平台等3个术语及其定义。</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4.总体原则。</w:t>
      </w:r>
      <w:r>
        <w:rPr>
          <w:rFonts w:hint="eastAsia" w:ascii="仿宋_GB2312" w:hAnsi="仿宋_GB2312" w:eastAsia="仿宋_GB2312" w:cs="仿宋_GB2312"/>
          <w:sz w:val="32"/>
          <w:szCs w:val="32"/>
        </w:rPr>
        <w:t>本章提炼总结了智慧工厂化养殖场建设的普适性指导原则。建设目标是结合机械设备与信息技术，提升工厂化养殖的效率和智能化水平。因此本文规定车间建设遵循先进、适用、智能、绿色的总体原则，结合机械设备与物联网、人工智能、大数据技术，实现养殖环境实时监测与精准控制、生产过程智能管控和全链条可追溯。</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5.基础设施建设。</w:t>
      </w:r>
      <w:r>
        <w:rPr>
          <w:rFonts w:hint="eastAsia" w:ascii="仿宋_GB2312" w:hAnsi="仿宋_GB2312" w:eastAsia="仿宋_GB2312" w:cs="仿宋_GB2312"/>
          <w:sz w:val="32"/>
          <w:szCs w:val="32"/>
        </w:rPr>
        <w:t>本章给出了工厂化养殖车间的基础设施建设建议，包括车间的选址布局、循环水处理系统、源水处理、尾水处理、视频监控和数据中心等。</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（1）工厂化养殖分为流水养殖和循环水养殖。本文中规定流水养殖的工厂化养殖车间的选址布局、工艺设计参照《良好农业规范 第15部分：水产工厂化养殖基础控制点与符合性规范》（GB/T 20014.15）中4.2（选址、设施与设备）的规定；工厂化循环水养殖的工艺与流水养殖有区别且已经发布了相关行业标准，因此本文规定循环水养殖车间参考《工厂化循环水养殖车间设计规范》（SC/T 6093）中5（车间建筑）的规定。两种养殖车间均需要在养殖车间出入口设置车辆及人员消杀防疫设施，养殖车间需要保障电气安全，车间安装防雷设施，这些要求均在引用标准中有所体现。</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循环水处理系统的基础设施建设应当考虑养殖鱼池、颗粒物去除工艺、氨氮去除工艺、二氧化碳去除工艺、增氧工艺、调温工艺等，建设参照工厂化循环水养殖车间参考《工厂化循环水养殖车间设计规范》（SC/T 6093）中6的规定。</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工厂化养殖源水一般取自海洋、湖泊、水库、河道和地下水，稳定的水源至关重要。当源水水质不符合养殖要求时，应对其进行颗粒物去除、溶解态污染物以及杀菌消毒措施，处理后的养殖用水宜符合《渔业水质标准》（GB 11607）的要求。</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生态环境部和农业农村部联合印发《农业面源污染治理与监督指导实施方案（试行）》，提出指导各地制定水产养殖尾水排放等标准规范；联合发布《关于加强海水养殖生态环境监管的意见》，要求沿海各省（区、市）按照地方水产养殖业水污染物排放控制标准制订技术导则有关要求，在2023年底前出台地方海水养殖尾水排放相关标准。为此，生态环境部研究制定了《导则》，用于指导和规范各地因地制宜制订相关地方污染物排放标准。截止目前，绝大部分省市均已制定相应标准。因此，本标准规定：根据地方养殖尾水排放标准要求，配备尾水收集与预处理设施、固液分离设备和滤清液氮磷脱除等设备，建设相应规模的养殖尾水处理系统。</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数据中心是为集中放置的电子信息设备提供运行环境的建筑场所，为智慧渔场运行提供网络连接、算力支撑和数据存储与管理。数据中心一般包括主机房、辅助区、支持区和行政管理区，因此本标准规定数据中心建设参照GB 50174的相关规定。</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6.机械化建设。</w:t>
      </w:r>
      <w:r>
        <w:rPr>
          <w:rFonts w:hint="eastAsia" w:ascii="仿宋_GB2312" w:hAnsi="仿宋_GB2312" w:eastAsia="仿宋_GB2312" w:cs="仿宋_GB2312"/>
          <w:sz w:val="32"/>
          <w:szCs w:val="32"/>
        </w:rPr>
        <w:t>本章给出了智慧渔场工厂化养殖机械化建设的内容和技术要求。</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（1）提出了设备选型的总体原则，依据品种、规模和养殖密度，配置工厂化养殖所匹配的设备。设备的安全卫生要求和电气安全要求参考《水产品工厂化养殖装备安全卫生要求》（SC/T 6040）和《水产养殖电气设备安全要求》（SC/T 6040）的规定。</w:t>
      </w:r>
      <w:bookmarkStart w:id="0" w:name="_Toc170217244"/>
      <w:r>
        <w:rPr>
          <w:rFonts w:hint="eastAsia" w:ascii="仿宋_GB2312" w:hAnsi="仿宋_GB2312" w:eastAsia="仿宋_GB2312" w:cs="仿宋_GB2312"/>
          <w:sz w:val="32"/>
          <w:szCs w:val="32"/>
        </w:rPr>
        <w:t>海水养殖应选择耐腐蚀材料的设备。</w:t>
      </w:r>
      <w:bookmarkEnd w:id="0"/>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水质调控是工厂化养殖最重要的环节，包括进水和回水控制、颗粒物收集与去除、生物净化、气体交换、pH值与碱度调节、杀菌消毒、温度控制。根据不同品种和规模进行配置水路控制器、微滤机、生物过滤器、脱气塔、增氧机、pH控制器、紫外杀菌器、臭氧发生器、换热器等设备。水质参数精准监测是水质调控的基础，其中传感器是核心，参考《水产养殖环境监控系统通用技术要求》（GB/T43744）。</w:t>
      </w:r>
    </w:p>
    <w:p>
      <w:pPr>
        <w:keepNext w:val="0"/>
        <w:keepLines w:val="0"/>
        <w:pageBreakBefore w:val="0"/>
        <w:widowControl w:val="0"/>
        <w:kinsoku/>
        <w:wordWrap/>
        <w:overflowPunct/>
        <w:topLinePunct w:val="0"/>
        <w:autoSpaceDE/>
        <w:autoSpaceDN/>
        <w:bidi w:val="0"/>
        <w:adjustRightInd/>
        <w:snapToGrid/>
        <w:spacing w:after="0" w:line="240" w:lineRule="auto"/>
        <w:ind w:left="210" w:leftChars="1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（3）其他环境因子包括室内温度、湿度和照度等，其中温湿度与工作环境舒适度、养殖水体保温相关，照度与养殖品种和养殖阶段密切相关，因此本标准规定：宜配备室内温湿度与光照监测和调控设备。</w:t>
      </w:r>
    </w:p>
    <w:p>
      <w:pPr>
        <w:keepNext w:val="0"/>
        <w:keepLines w:val="0"/>
        <w:pageBreakBefore w:val="0"/>
        <w:widowControl w:val="0"/>
        <w:kinsoku/>
        <w:wordWrap/>
        <w:overflowPunct/>
        <w:topLinePunct w:val="0"/>
        <w:autoSpaceDE/>
        <w:autoSpaceDN/>
        <w:bidi w:val="0"/>
        <w:adjustRightInd/>
        <w:snapToGrid/>
        <w:spacing w:after="0" w:line="240" w:lineRule="auto"/>
        <w:ind w:left="210" w:leftChars="1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饲喂是养殖过程中的劳动密集环节，目前机械化水平有提升空间，具有较高的智能化需求。精准饲喂与养殖品种、养殖密度、摄食状态相关，应根据以上数据配置相应的投饲机，如风送式、重力式、离心式等。精准投饲策略基于水质、鱼群摄食行为、残饵情况制定。</w:t>
      </w:r>
    </w:p>
    <w:p>
      <w:pPr>
        <w:keepNext w:val="0"/>
        <w:keepLines w:val="0"/>
        <w:pageBreakBefore w:val="0"/>
        <w:widowControl w:val="0"/>
        <w:kinsoku/>
        <w:wordWrap/>
        <w:overflowPunct/>
        <w:topLinePunct w:val="0"/>
        <w:autoSpaceDE/>
        <w:autoSpaceDN/>
        <w:bidi w:val="0"/>
        <w:adjustRightInd/>
        <w:snapToGrid/>
        <w:spacing w:after="0" w:line="240" w:lineRule="auto"/>
        <w:ind w:left="210" w:leftChars="1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（5）起捕分级是养殖过程中劳动强度大、机械化率较低的环节，的机械化建设包括鱼苗分级、计数以成鱼养殖的集鱼器、吸鱼泵和分选机。</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（6）智能巡检，人力替代，对养殖池水位、鱼类摄食状况、鱼类健康状况（体色、行为、体表、死亡）、设备运行状态等进行巡检。</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（7）为保障车间安全，提供多方位、多角度的可视化监控画面，视频监控需覆盖车间关键区域。由于养殖环境较为潮湿，摄像机需要达到一定的安全防护等级。同时配置足够容量的存储器，保障数据存储安全。</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动力设备的工作电流、工作电压等参数直接反映了设备的运行状态，如水泵、微滤机等。管道流量和管道压力反映了循环水系统的工作状态和效率。因此，本标准规定：宜对主要动力设备的运行状态（如工作电压、工作电流、流量、管道压力）等进行在线监测。</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7.数字化管理平台。</w:t>
      </w:r>
      <w:r>
        <w:rPr>
          <w:rFonts w:hint="eastAsia" w:ascii="仿宋_GB2312" w:hAnsi="仿宋_GB2312" w:eastAsia="仿宋_GB2312" w:cs="仿宋_GB2312"/>
          <w:sz w:val="32"/>
          <w:szCs w:val="32"/>
        </w:rPr>
        <w:t>本章给出了智慧工厂化养殖数字化管理平台的内容和技术要求，包括基本功能、数据传输和接口以及信息安全。智慧渔场管理平台是智慧工厂化养殖必不可少的大脑，为渔场的运行提供数据管理分析和智慧决策。</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（1）数字化管理平台提供生产管理、设备管理、人员管理、养殖日志、可追溯等功能，具备生产排程和调度、设备参数监控并远程操作、设备协同、报警监视管理、健康管理、台账和日志管理等功能。</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（2）传输协议方面，智慧渔场可使用ModbusRTU、ModbusTCP、TCP、IP、UDP、HTTP、MQTT等协议，接口方面给出输入输出、网卡、无线、光纤、视频等接口建议。</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（3）信息安全方面，信息采集、传输、安全等级保护、安全风险评估等均满足信息安全领域的相关国家标准。</w:t>
      </w:r>
    </w:p>
    <w:p>
      <w:pPr>
        <w:keepNext w:val="0"/>
        <w:keepLines w:val="0"/>
        <w:pageBreakBefore w:val="0"/>
        <w:widowControl w:val="0"/>
        <w:kinsoku/>
        <w:wordWrap/>
        <w:overflowPunct/>
        <w:topLinePunct w:val="0"/>
        <w:autoSpaceDE/>
        <w:autoSpaceDN/>
        <w:bidi w:val="0"/>
        <w:adjustRightInd/>
        <w:snapToGrid/>
        <w:spacing w:after="0" w:line="240" w:lineRule="auto"/>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8.运行维护。</w:t>
      </w:r>
      <w:r>
        <w:rPr>
          <w:rFonts w:hint="eastAsia" w:ascii="仿宋_GB2312" w:hAnsi="仿宋_GB2312" w:eastAsia="仿宋_GB2312" w:cs="仿宋_GB2312"/>
          <w:sz w:val="32"/>
          <w:szCs w:val="32"/>
        </w:rPr>
        <w:t>本章提出了对智慧工厂化养殖机械化设备和平台维护的建议。通过定期检查基础设施，确保水质稳定和水流畅通，防止堵塞、污染积累和腐蚀。通过设备维护，保障机械化设备正常运转，确保供养、投喂、温控正常。通过数字化管理平台维护，确保数据的可靠、稳定。</w:t>
      </w:r>
    </w:p>
    <w:p>
      <w:pPr>
        <w:pStyle w:val="3"/>
        <w:pageBreakBefore w:val="0"/>
        <w:widowControl w:val="0"/>
        <w:kinsoku/>
        <w:wordWrap/>
        <w:overflowPunct/>
        <w:topLinePunct w:val="0"/>
        <w:autoSpaceDE/>
        <w:autoSpaceDN/>
        <w:bidi w:val="0"/>
        <w:snapToGrid/>
        <w:spacing w:before="0" w:after="0" w:line="240" w:lineRule="auto"/>
        <w:ind w:firstLine="640" w:firstLineChars="200"/>
        <w:rPr>
          <w:rFonts w:ascii="Times New Roman" w:hAnsi="Times New Roman" w:eastAsia="黑体" w:cs="Times New Roman"/>
          <w:b w:val="0"/>
          <w:sz w:val="32"/>
          <w:szCs w:val="32"/>
        </w:rPr>
      </w:pPr>
      <w:r>
        <w:rPr>
          <w:rFonts w:ascii="Times New Roman" w:hAnsi="Times New Roman" w:eastAsia="黑体" w:cs="Times New Roman"/>
          <w:b w:val="0"/>
          <w:sz w:val="32"/>
          <w:szCs w:val="32"/>
        </w:rPr>
        <w:t>三、试验验证的分析、综述报告，技术经济论证，预期的经济效益、社会效益和生态效益</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前期调研情况看，目前国内工厂化水产养殖已基本实现机械化，自动化、数字化与智能化是工厂化养殖的主要趋势。尤其是工厂化循环水养殖车间均配备水处理装备，大部分车间配备了自动投饲机，但是在日常巡检、起捕分级环节依然用工量大。成熟的工厂化养殖企业均有数字化管理平台，基本可以实时掌握环境、水质、鱼类生长情况的数据，正在向基于物联网和人工智能技术的智能决策与控制方向发展。</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标准编制过程中，标准起草单位进行了相关的试验验证工作。农业农村部农业机械化总站、中国农业大学、中国水产科学院渔业机械仪器研究所考察了上海城市电力发展有限公司养殖基地（崇明）工厂化循环水车间和山东莱州明波水产有限公司等大中型工厂化养殖场的设备、数字化管理平台情况，两个渔场均配备了全套循环水处理设备，其智能管理平台包含生产管理、设备管理、报警监视、投入品管理、安全管理等主要方面，基本符合本标准的规定。现有渔场在已有设备的基础上，通过增加智能巡检、起捕分级、工况监测等投入，也可基本符合本标准的规定。</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国水产技术推广总站、重庆市农业科学院、农芯科技（北京）有限责任公司在重庆梁平鱼菜共生AI工厂查考了循环水养殖的情况，该工厂除配备常规的循环水处理设备外，还配置了智能轨道式投饵机器人，可以根据鱼群摄食行为进行变量投喂。同时该工厂具有管理平台和数字孪生系统，实现了对车间内部情况的动态监测。该工厂计划未来投入巡检机器人、工况监测等设备，更好地实现数字化生产。通过逐项验证，本标准符合工厂化养殖智慧渔场建设的要求。</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江苏省农机具开发应用中心现场查考了南京宁渔种业研究院有限公司、镇江江之源渔业科技有限公司、无锡徐霞客镇巴斯水产养殖场、中国水产科学研究院东海水产研究所赣榆研究中心和赣榆水产苗种繁育和现代化养殖中心等工厂化循环水养殖装备配置和数字化管控情况，场所基本配备了全套循环水处理设备，其智能管理平台设置内容不一，视频监控、水质监测基本条件，部分基地已配置精准投喂或即将配置适宜管控的智能投喂系统，基本符合本标准的规定。后期通过增加智能巡检、起捕分级、工况监测等投入，逐步完善更好地实现数字化生产。验证表明几个场所也可基本符合本标准的规定。</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适当超越了当前国内高配置的工厂化养殖车间，重点关注基础设施和机械化装备的综合配置，指导数字化管理平台的建设，推动人工智能算法与模型的引入，从而提升智慧渔场的智能化水平。国内外尚缺乏此类标准的制定和实施，这一举措将有效引领智慧渔场的发展，促使养殖生产实现数字化、智能化和无人化。</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实施本标准，智慧渔场将能够显著提升生产效率和养殖质量，降低劳动强度和生产成本，确保生产过程的可追溯性。同时，能源利用效率也将得到提高，碳排放将得到有效控制，从而实现绿色发展。这一标准的实施不仅有助于提升经济效益，更是保障食品安全与质量的重要举措，为行业的可持续发展提供了坚实基础。</w:t>
      </w:r>
    </w:p>
    <w:p>
      <w:pPr>
        <w:pStyle w:val="3"/>
        <w:pageBreakBefore w:val="0"/>
        <w:widowControl w:val="0"/>
        <w:kinsoku/>
        <w:wordWrap/>
        <w:overflowPunct/>
        <w:topLinePunct w:val="0"/>
        <w:autoSpaceDE/>
        <w:autoSpaceDN/>
        <w:bidi w:val="0"/>
        <w:snapToGrid/>
        <w:spacing w:before="0" w:after="0" w:line="240" w:lineRule="auto"/>
        <w:ind w:firstLine="640" w:firstLineChars="200"/>
        <w:rPr>
          <w:rFonts w:ascii="Times New Roman" w:hAnsi="Times New Roman" w:eastAsia="黑体" w:cs="Times New Roman"/>
          <w:b w:val="0"/>
          <w:sz w:val="32"/>
          <w:szCs w:val="32"/>
        </w:rPr>
      </w:pPr>
      <w:r>
        <w:rPr>
          <w:rFonts w:ascii="Times New Roman" w:hAnsi="Times New Roman" w:eastAsia="黑体" w:cs="Times New Roman"/>
          <w:b w:val="0"/>
          <w:sz w:val="32"/>
          <w:szCs w:val="32"/>
        </w:rPr>
        <w:t>四、与国际、国外同类标准技术内容的对比情况，或者与测试的国外样品、样机的有关数据对比情况</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经查新和检索，国际、国外尚无相关的同类标准。</w:t>
      </w:r>
    </w:p>
    <w:p>
      <w:pPr>
        <w:pStyle w:val="3"/>
        <w:pageBreakBefore w:val="0"/>
        <w:widowControl w:val="0"/>
        <w:kinsoku/>
        <w:wordWrap/>
        <w:overflowPunct/>
        <w:topLinePunct w:val="0"/>
        <w:autoSpaceDE/>
        <w:autoSpaceDN/>
        <w:bidi w:val="0"/>
        <w:snapToGrid/>
        <w:spacing w:before="0" w:after="0" w:line="240" w:lineRule="auto"/>
        <w:ind w:firstLine="640" w:firstLineChars="200"/>
        <w:rPr>
          <w:rFonts w:ascii="Times New Roman" w:hAnsi="Times New Roman" w:eastAsia="黑体" w:cs="Times New Roman"/>
          <w:b w:val="0"/>
          <w:sz w:val="32"/>
          <w:szCs w:val="32"/>
        </w:rPr>
      </w:pPr>
      <w:r>
        <w:rPr>
          <w:rFonts w:ascii="Times New Roman" w:hAnsi="Times New Roman" w:eastAsia="黑体" w:cs="Times New Roman"/>
          <w:b w:val="0"/>
          <w:sz w:val="32"/>
          <w:szCs w:val="32"/>
        </w:rPr>
        <w:t>五、以国际标准为基础的起草情况，以及是否合规引用或者采用国际国外标准，并说明未采用国际标准的原因</w:t>
      </w:r>
    </w:p>
    <w:p>
      <w:pPr>
        <w:keepNext w:val="0"/>
        <w:keepLines w:val="0"/>
        <w:pageBreakBefore w:val="0"/>
        <w:widowControl w:val="0"/>
        <w:kinsoku/>
        <w:wordWrap/>
        <w:overflowPunct/>
        <w:topLinePunct w:val="0"/>
        <w:autoSpaceDE/>
        <w:autoSpaceDN/>
        <w:bidi w:val="0"/>
        <w:adjustRightInd w:val="0"/>
        <w:snapToGrid/>
        <w:spacing w:after="0" w:line="240" w:lineRule="auto"/>
        <w:ind w:firstLine="604" w:firstLineChars="189"/>
        <w:textAlignment w:val="baseline"/>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sz w:val="32"/>
          <w:szCs w:val="32"/>
        </w:rPr>
        <w:t>无</w:t>
      </w:r>
    </w:p>
    <w:p>
      <w:pPr>
        <w:pStyle w:val="3"/>
        <w:pageBreakBefore w:val="0"/>
        <w:widowControl w:val="0"/>
        <w:kinsoku/>
        <w:wordWrap/>
        <w:overflowPunct/>
        <w:topLinePunct w:val="0"/>
        <w:autoSpaceDE/>
        <w:autoSpaceDN/>
        <w:bidi w:val="0"/>
        <w:snapToGrid/>
        <w:spacing w:before="0" w:after="0" w:line="240" w:lineRule="auto"/>
        <w:ind w:firstLine="640" w:firstLineChars="200"/>
        <w:rPr>
          <w:rFonts w:ascii="Times New Roman" w:hAnsi="Times New Roman" w:eastAsia="黑体" w:cs="Times New Roman"/>
          <w:b w:val="0"/>
          <w:sz w:val="32"/>
          <w:szCs w:val="32"/>
        </w:rPr>
      </w:pPr>
      <w:r>
        <w:rPr>
          <w:rFonts w:ascii="Times New Roman" w:hAnsi="Times New Roman" w:eastAsia="黑体" w:cs="Times New Roman"/>
          <w:b w:val="0"/>
          <w:sz w:val="32"/>
          <w:szCs w:val="32"/>
        </w:rPr>
        <w:t>六、与有关法律、行政法规及相关标准的关系</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本标准贯彻落实党中央、国务院以及农业农村部有关决策部署，符合现行有关法律法规规定。本标准参考并引用了部分现行相关国家标准和农业行业标准，能够协调一致。</w:t>
      </w:r>
    </w:p>
    <w:p>
      <w:pPr>
        <w:pStyle w:val="3"/>
        <w:pageBreakBefore w:val="0"/>
        <w:widowControl w:val="0"/>
        <w:kinsoku/>
        <w:wordWrap/>
        <w:overflowPunct/>
        <w:topLinePunct w:val="0"/>
        <w:autoSpaceDE/>
        <w:autoSpaceDN/>
        <w:bidi w:val="0"/>
        <w:snapToGrid/>
        <w:spacing w:before="0" w:after="0" w:line="240" w:lineRule="auto"/>
        <w:ind w:firstLine="640" w:firstLineChars="200"/>
        <w:rPr>
          <w:rFonts w:ascii="Times New Roman" w:hAnsi="Times New Roman" w:eastAsia="黑体" w:cs="Times New Roman"/>
          <w:b w:val="0"/>
          <w:sz w:val="32"/>
          <w:szCs w:val="32"/>
        </w:rPr>
      </w:pPr>
      <w:r>
        <w:rPr>
          <w:rFonts w:ascii="Times New Roman" w:hAnsi="Times New Roman" w:eastAsia="黑体" w:cs="Times New Roman"/>
          <w:b w:val="0"/>
          <w:sz w:val="32"/>
          <w:szCs w:val="32"/>
        </w:rPr>
        <w:t>七、重大分歧意见的处理经过和依据</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pageBreakBefore w:val="0"/>
        <w:widowControl w:val="0"/>
        <w:kinsoku/>
        <w:wordWrap/>
        <w:overflowPunct/>
        <w:topLinePunct w:val="0"/>
        <w:autoSpaceDE/>
        <w:autoSpaceDN/>
        <w:bidi w:val="0"/>
        <w:snapToGrid/>
        <w:spacing w:before="0" w:after="0" w:line="240" w:lineRule="auto"/>
        <w:ind w:firstLine="640" w:firstLineChars="200"/>
        <w:rPr>
          <w:rFonts w:ascii="Times New Roman" w:hAnsi="Times New Roman" w:eastAsia="黑体" w:cs="Times New Roman"/>
          <w:b w:val="0"/>
          <w:sz w:val="32"/>
          <w:szCs w:val="32"/>
        </w:rPr>
      </w:pPr>
      <w:r>
        <w:rPr>
          <w:rFonts w:ascii="Times New Roman" w:hAnsi="Times New Roman" w:eastAsia="黑体" w:cs="Times New Roman"/>
          <w:b w:val="0"/>
          <w:sz w:val="32"/>
          <w:szCs w:val="32"/>
        </w:rPr>
        <w:t>八、涉及专利的有关说明</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本标准经公开征求社会意见建议，尚未识别出涉及专利情况。</w:t>
      </w:r>
    </w:p>
    <w:p>
      <w:pPr>
        <w:pStyle w:val="3"/>
        <w:pageBreakBefore w:val="0"/>
        <w:widowControl w:val="0"/>
        <w:kinsoku/>
        <w:wordWrap/>
        <w:overflowPunct/>
        <w:topLinePunct w:val="0"/>
        <w:autoSpaceDE/>
        <w:autoSpaceDN/>
        <w:bidi w:val="0"/>
        <w:snapToGrid/>
        <w:spacing w:before="0" w:after="0" w:line="240" w:lineRule="auto"/>
        <w:ind w:firstLine="640" w:firstLineChars="200"/>
        <w:rPr>
          <w:rFonts w:ascii="Times New Roman" w:hAnsi="Times New Roman" w:eastAsia="黑体" w:cs="Times New Roman"/>
          <w:b w:val="0"/>
          <w:sz w:val="32"/>
          <w:szCs w:val="32"/>
        </w:rPr>
      </w:pPr>
      <w:r>
        <w:rPr>
          <w:rFonts w:ascii="Times New Roman" w:hAnsi="Times New Roman" w:eastAsia="黑体" w:cs="Times New Roman"/>
          <w:b w:val="0"/>
          <w:sz w:val="32"/>
          <w:szCs w:val="32"/>
        </w:rPr>
        <w:t>九、实施标准的要求，以及组织措施、技术措施、过渡期和实施日期的建议等措施建议</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本标准作为推荐性农业行业标准发布实施，建议本标准批准发布后6个月实施。本标准发布实施后，标准技术归口单位可组织对养殖企业等相关单位和人员进行宣传培训，推动标准贯彻实施。各级农业农村部门可将本标准作为智慧工厂化水产养殖车间建设的技术指导文件，指引智慧工厂化水产养殖车间的建设与验收。养殖设备生产和服务提供企业可参照本标准。</w:t>
      </w:r>
    </w:p>
    <w:p>
      <w:pPr>
        <w:pStyle w:val="3"/>
        <w:pageBreakBefore w:val="0"/>
        <w:widowControl w:val="0"/>
        <w:kinsoku/>
        <w:wordWrap/>
        <w:overflowPunct/>
        <w:topLinePunct w:val="0"/>
        <w:autoSpaceDE/>
        <w:autoSpaceDN/>
        <w:bidi w:val="0"/>
        <w:snapToGrid/>
        <w:spacing w:before="0" w:after="0" w:line="240" w:lineRule="auto"/>
        <w:ind w:firstLine="640" w:firstLineChars="200"/>
        <w:rPr>
          <w:rFonts w:ascii="Times New Roman" w:hAnsi="Times New Roman" w:eastAsia="黑体" w:cs="Times New Roman"/>
          <w:b w:val="0"/>
          <w:sz w:val="32"/>
          <w:szCs w:val="32"/>
        </w:rPr>
      </w:pPr>
      <w:r>
        <w:rPr>
          <w:rFonts w:ascii="Times New Roman" w:hAnsi="Times New Roman" w:eastAsia="黑体" w:cs="Times New Roman"/>
          <w:b w:val="0"/>
          <w:sz w:val="32"/>
          <w:szCs w:val="32"/>
        </w:rPr>
        <w:t>十、其他应当说明的事项</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ageBreakBefore w:val="0"/>
        <w:widowControl w:val="0"/>
        <w:kinsoku/>
        <w:wordWrap/>
        <w:overflowPunct/>
        <w:topLinePunct w:val="0"/>
        <w:autoSpaceDE/>
        <w:autoSpaceDN/>
        <w:bidi w:val="0"/>
        <w:snapToGrid/>
        <w:spacing w:line="240" w:lineRule="auto"/>
        <w:ind w:firstLine="640" w:firstLineChars="200"/>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after="0" w:line="240" w:lineRule="auto"/>
        <w:jc w:val="righ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《智慧</w:t>
      </w:r>
      <w:r>
        <w:rPr>
          <w:rFonts w:hint="eastAsia" w:ascii="仿宋_GB2312" w:hAnsi="仿宋_GB2312" w:eastAsia="仿宋_GB2312" w:cs="仿宋_GB2312"/>
          <w:color w:val="000000"/>
          <w:kern w:val="0"/>
          <w:sz w:val="32"/>
          <w:szCs w:val="32"/>
          <w:lang w:eastAsia="zh-CN"/>
        </w:rPr>
        <w:t>渔船</w:t>
      </w:r>
      <w:r>
        <w:rPr>
          <w:rFonts w:hint="eastAsia" w:ascii="仿宋_GB2312" w:hAnsi="仿宋_GB2312" w:eastAsia="仿宋_GB2312" w:cs="仿宋_GB2312"/>
          <w:color w:val="000000"/>
          <w:kern w:val="0"/>
          <w:sz w:val="32"/>
          <w:szCs w:val="32"/>
        </w:rPr>
        <w:t>机械化建设指南</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第1部分：</w:t>
      </w:r>
      <w:r>
        <w:rPr>
          <w:rFonts w:hint="eastAsia" w:ascii="仿宋_GB2312" w:hAnsi="仿宋_GB2312" w:eastAsia="仿宋_GB2312" w:cs="仿宋_GB2312"/>
          <w:color w:val="000000"/>
          <w:kern w:val="0"/>
          <w:sz w:val="32"/>
          <w:szCs w:val="32"/>
          <w:lang w:eastAsia="zh-CN"/>
        </w:rPr>
        <w:t>工厂化养殖</w:t>
      </w:r>
      <w:r>
        <w:rPr>
          <w:rFonts w:hint="eastAsia" w:ascii="仿宋_GB2312" w:hAnsi="仿宋_GB2312" w:eastAsia="仿宋_GB2312" w:cs="仿宋_GB2312"/>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标准</w:t>
      </w:r>
      <w:r>
        <w:rPr>
          <w:rFonts w:hint="eastAsia" w:ascii="仿宋_GB2312" w:hAnsi="仿宋_GB2312" w:eastAsia="仿宋_GB2312" w:cs="仿宋_GB2312"/>
          <w:color w:val="000000"/>
          <w:kern w:val="0"/>
          <w:sz w:val="32"/>
          <w:szCs w:val="32"/>
          <w:lang w:eastAsia="zh-CN"/>
        </w:rPr>
        <w:t>起</w:t>
      </w:r>
      <w:bookmarkStart w:id="1" w:name="_GoBack"/>
      <w:bookmarkEnd w:id="1"/>
      <w:r>
        <w:rPr>
          <w:rFonts w:hint="eastAsia" w:ascii="仿宋_GB2312" w:hAnsi="仿宋_GB2312" w:eastAsia="仿宋_GB2312" w:cs="仿宋_GB2312"/>
          <w:color w:val="000000"/>
          <w:kern w:val="0"/>
          <w:sz w:val="32"/>
          <w:szCs w:val="32"/>
          <w:lang w:eastAsia="zh-CN"/>
        </w:rPr>
        <w:t>草</w:t>
      </w:r>
      <w:r>
        <w:rPr>
          <w:rFonts w:hint="eastAsia" w:ascii="仿宋_GB2312" w:hAnsi="仿宋_GB2312" w:eastAsia="仿宋_GB2312" w:cs="仿宋_GB2312"/>
          <w:color w:val="000000"/>
          <w:kern w:val="0"/>
          <w:sz w:val="32"/>
          <w:szCs w:val="32"/>
        </w:rPr>
        <w:t>工作组</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2024年1</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7日</w:t>
      </w:r>
      <w:r>
        <w:rPr>
          <w:rFonts w:hint="eastAsia" w:ascii="仿宋_GB2312" w:hAnsi="仿宋_GB2312" w:eastAsia="仿宋_GB2312" w:cs="仿宋_GB2312"/>
          <w:color w:val="000000"/>
          <w:kern w:val="0"/>
          <w:sz w:val="32"/>
          <w:szCs w:val="32"/>
        </w:rPr>
        <w:t xml:space="preserve"> </w:t>
      </w:r>
    </w:p>
    <w:p>
      <w:pPr>
        <w:pageBreakBefore w:val="0"/>
        <w:widowControl w:val="0"/>
        <w:kinsoku/>
        <w:wordWrap/>
        <w:bidi w:val="0"/>
        <w:snapToGrid/>
        <w:spacing w:line="240" w:lineRule="auto"/>
        <w:jc w:val="center"/>
        <w:rPr>
          <w:rFonts w:ascii="Times New Roman" w:hAnsi="Times New Roman" w:cs="Times New Roman"/>
        </w:rPr>
      </w:pPr>
      <w:r>
        <w:rPr>
          <w:rFonts w:ascii="Times New Roman" w:hAnsi="Times New Roman" w:eastAsia="仿宋_GB2312" w:cs="Times New Roman"/>
          <w:color w:val="000000"/>
          <w:kern w:val="0"/>
          <w:sz w:val="32"/>
          <w:szCs w:val="32"/>
        </w:rPr>
        <w:t xml:space="preserve"> </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DejaVu Sans">
    <w:panose1 w:val="020B0603030804020204"/>
    <w:charset w:val="00"/>
    <w:family w:val="auto"/>
    <w:pitch w:val="default"/>
    <w:sig w:usb0="E7006EFF" w:usb1="D200FDFF" w:usb2="0A246029" w:usb3="0400200C" w:csb0="600001FF" w:csb1="DFFF0000"/>
  </w:font>
  <w:font w:name="文泉驿正黑">
    <w:panose1 w:val="02000603000000000000"/>
    <w:charset w:val="86"/>
    <w:family w:val="auto"/>
    <w:pitch w:val="default"/>
    <w:sig w:usb0="900002BF" w:usb1="2BDF7DFB" w:usb2="00000036" w:usb3="00000000" w:csb0="603E000D" w:csb1="D2D7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6989669"/>
      <w:docPartObj>
        <w:docPartGallery w:val="AutoText"/>
      </w:docPartObj>
    </w:sdtPr>
    <w:sdtContent>
      <w:p>
        <w:pPr>
          <w:pStyle w:val="6"/>
          <w:jc w:val="center"/>
        </w:pPr>
        <w:r>
          <w:fldChar w:fldCharType="begin"/>
        </w:r>
        <w:r>
          <w:instrText xml:space="preserve">PAGE   \* MERGEFORMAT</w:instrText>
        </w:r>
        <w:r>
          <w:fldChar w:fldCharType="separate"/>
        </w:r>
        <w:r>
          <w:rPr>
            <w:lang w:val="zh-CN"/>
          </w:rPr>
          <w:t>16</w:t>
        </w:r>
        <w:r>
          <w:fldChar w:fldCharType="end"/>
        </w:r>
      </w:p>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MxYTBmM2ExNDA5MTI5NmEwNjA4YTk5MmRmY2Y2MzgifQ=="/>
  </w:docVars>
  <w:rsids>
    <w:rsidRoot w:val="00EC36C1"/>
    <w:rsid w:val="00000DCD"/>
    <w:rsid w:val="000026C7"/>
    <w:rsid w:val="00006A2F"/>
    <w:rsid w:val="000079C8"/>
    <w:rsid w:val="00010C7A"/>
    <w:rsid w:val="00012B86"/>
    <w:rsid w:val="0001436D"/>
    <w:rsid w:val="00014649"/>
    <w:rsid w:val="00015480"/>
    <w:rsid w:val="000168B7"/>
    <w:rsid w:val="0002591D"/>
    <w:rsid w:val="000376B1"/>
    <w:rsid w:val="000413C5"/>
    <w:rsid w:val="0005519B"/>
    <w:rsid w:val="000565EE"/>
    <w:rsid w:val="00056B51"/>
    <w:rsid w:val="0005747E"/>
    <w:rsid w:val="00066D14"/>
    <w:rsid w:val="000707D7"/>
    <w:rsid w:val="00070CB5"/>
    <w:rsid w:val="000739A8"/>
    <w:rsid w:val="00074215"/>
    <w:rsid w:val="000745FD"/>
    <w:rsid w:val="00074AD4"/>
    <w:rsid w:val="00076E05"/>
    <w:rsid w:val="00080674"/>
    <w:rsid w:val="0008168D"/>
    <w:rsid w:val="00081BC9"/>
    <w:rsid w:val="00083D82"/>
    <w:rsid w:val="000912EE"/>
    <w:rsid w:val="00095BF9"/>
    <w:rsid w:val="000A5311"/>
    <w:rsid w:val="000A57DF"/>
    <w:rsid w:val="000A58A1"/>
    <w:rsid w:val="000B0250"/>
    <w:rsid w:val="000B0911"/>
    <w:rsid w:val="000B285C"/>
    <w:rsid w:val="000B4DB0"/>
    <w:rsid w:val="000C02A5"/>
    <w:rsid w:val="000C2990"/>
    <w:rsid w:val="000C3589"/>
    <w:rsid w:val="000C43E2"/>
    <w:rsid w:val="000C50B0"/>
    <w:rsid w:val="000D189D"/>
    <w:rsid w:val="000D61D6"/>
    <w:rsid w:val="000D64F3"/>
    <w:rsid w:val="000D7459"/>
    <w:rsid w:val="000E164C"/>
    <w:rsid w:val="000E2889"/>
    <w:rsid w:val="000E2FD8"/>
    <w:rsid w:val="000E3061"/>
    <w:rsid w:val="000E566B"/>
    <w:rsid w:val="000E6E01"/>
    <w:rsid w:val="000F47C5"/>
    <w:rsid w:val="000F505E"/>
    <w:rsid w:val="000F6B55"/>
    <w:rsid w:val="00101D56"/>
    <w:rsid w:val="001028F1"/>
    <w:rsid w:val="00103289"/>
    <w:rsid w:val="00106C48"/>
    <w:rsid w:val="001108C0"/>
    <w:rsid w:val="001112F7"/>
    <w:rsid w:val="00113A5D"/>
    <w:rsid w:val="00113A6D"/>
    <w:rsid w:val="00114CC8"/>
    <w:rsid w:val="0011528E"/>
    <w:rsid w:val="001246D1"/>
    <w:rsid w:val="00124F4A"/>
    <w:rsid w:val="00126155"/>
    <w:rsid w:val="00130BA1"/>
    <w:rsid w:val="00134E8B"/>
    <w:rsid w:val="00137FFB"/>
    <w:rsid w:val="00142CA7"/>
    <w:rsid w:val="00142DA4"/>
    <w:rsid w:val="00143A67"/>
    <w:rsid w:val="00144EFC"/>
    <w:rsid w:val="00145D34"/>
    <w:rsid w:val="00152A38"/>
    <w:rsid w:val="00160E95"/>
    <w:rsid w:val="0016239B"/>
    <w:rsid w:val="00162659"/>
    <w:rsid w:val="00162FAE"/>
    <w:rsid w:val="001630F4"/>
    <w:rsid w:val="00163294"/>
    <w:rsid w:val="00170852"/>
    <w:rsid w:val="00172677"/>
    <w:rsid w:val="00182D69"/>
    <w:rsid w:val="00184EF9"/>
    <w:rsid w:val="00184F1C"/>
    <w:rsid w:val="0019573A"/>
    <w:rsid w:val="001A194B"/>
    <w:rsid w:val="001A3B25"/>
    <w:rsid w:val="001A6195"/>
    <w:rsid w:val="001A6C00"/>
    <w:rsid w:val="001B77CD"/>
    <w:rsid w:val="001C297C"/>
    <w:rsid w:val="001C642D"/>
    <w:rsid w:val="001D2767"/>
    <w:rsid w:val="001D2E56"/>
    <w:rsid w:val="001D50AA"/>
    <w:rsid w:val="001D630E"/>
    <w:rsid w:val="001E16BD"/>
    <w:rsid w:val="001E1DDD"/>
    <w:rsid w:val="001E1F25"/>
    <w:rsid w:val="001E794D"/>
    <w:rsid w:val="001F1E89"/>
    <w:rsid w:val="001F20D9"/>
    <w:rsid w:val="001F215F"/>
    <w:rsid w:val="001F63A3"/>
    <w:rsid w:val="001F664A"/>
    <w:rsid w:val="00200377"/>
    <w:rsid w:val="002026D9"/>
    <w:rsid w:val="00202BD1"/>
    <w:rsid w:val="00203067"/>
    <w:rsid w:val="00212F0A"/>
    <w:rsid w:val="002130D4"/>
    <w:rsid w:val="00214F43"/>
    <w:rsid w:val="002158EF"/>
    <w:rsid w:val="002209FC"/>
    <w:rsid w:val="00221387"/>
    <w:rsid w:val="002216CB"/>
    <w:rsid w:val="0023004D"/>
    <w:rsid w:val="002311B9"/>
    <w:rsid w:val="0023271F"/>
    <w:rsid w:val="0023488C"/>
    <w:rsid w:val="002366D2"/>
    <w:rsid w:val="00236884"/>
    <w:rsid w:val="0023780D"/>
    <w:rsid w:val="002475EE"/>
    <w:rsid w:val="00253127"/>
    <w:rsid w:val="00255EA3"/>
    <w:rsid w:val="002579E4"/>
    <w:rsid w:val="0026033E"/>
    <w:rsid w:val="00261147"/>
    <w:rsid w:val="00261DD6"/>
    <w:rsid w:val="00263C4A"/>
    <w:rsid w:val="002670C7"/>
    <w:rsid w:val="002712CB"/>
    <w:rsid w:val="00273FBA"/>
    <w:rsid w:val="00274A3F"/>
    <w:rsid w:val="00280E66"/>
    <w:rsid w:val="00282B25"/>
    <w:rsid w:val="00285F98"/>
    <w:rsid w:val="00291033"/>
    <w:rsid w:val="0029319B"/>
    <w:rsid w:val="00295033"/>
    <w:rsid w:val="002955C2"/>
    <w:rsid w:val="0029651F"/>
    <w:rsid w:val="002A1688"/>
    <w:rsid w:val="002A417E"/>
    <w:rsid w:val="002A4468"/>
    <w:rsid w:val="002A6209"/>
    <w:rsid w:val="002A6B33"/>
    <w:rsid w:val="002B13F1"/>
    <w:rsid w:val="002B2611"/>
    <w:rsid w:val="002B6DC9"/>
    <w:rsid w:val="002B7F14"/>
    <w:rsid w:val="002C137A"/>
    <w:rsid w:val="002C178B"/>
    <w:rsid w:val="002C4F2B"/>
    <w:rsid w:val="002C5DD7"/>
    <w:rsid w:val="002D186C"/>
    <w:rsid w:val="002D575B"/>
    <w:rsid w:val="002E1495"/>
    <w:rsid w:val="002E667D"/>
    <w:rsid w:val="002F1EBD"/>
    <w:rsid w:val="003019F3"/>
    <w:rsid w:val="00301FA7"/>
    <w:rsid w:val="00305664"/>
    <w:rsid w:val="00310D9E"/>
    <w:rsid w:val="00310F4B"/>
    <w:rsid w:val="00312084"/>
    <w:rsid w:val="003120A0"/>
    <w:rsid w:val="003145F0"/>
    <w:rsid w:val="00317693"/>
    <w:rsid w:val="00323CDB"/>
    <w:rsid w:val="00324C82"/>
    <w:rsid w:val="0032558F"/>
    <w:rsid w:val="00330812"/>
    <w:rsid w:val="0033170F"/>
    <w:rsid w:val="0033267B"/>
    <w:rsid w:val="00332B07"/>
    <w:rsid w:val="00342A85"/>
    <w:rsid w:val="003430CE"/>
    <w:rsid w:val="00343C28"/>
    <w:rsid w:val="00344284"/>
    <w:rsid w:val="00347842"/>
    <w:rsid w:val="00350842"/>
    <w:rsid w:val="00351C6C"/>
    <w:rsid w:val="003545BF"/>
    <w:rsid w:val="0036286E"/>
    <w:rsid w:val="00362FDF"/>
    <w:rsid w:val="00363A43"/>
    <w:rsid w:val="003710EB"/>
    <w:rsid w:val="003766E3"/>
    <w:rsid w:val="00376783"/>
    <w:rsid w:val="00381385"/>
    <w:rsid w:val="0038242D"/>
    <w:rsid w:val="00385676"/>
    <w:rsid w:val="0038683A"/>
    <w:rsid w:val="00387915"/>
    <w:rsid w:val="003924B3"/>
    <w:rsid w:val="00392718"/>
    <w:rsid w:val="00392BCC"/>
    <w:rsid w:val="00395D55"/>
    <w:rsid w:val="0039759B"/>
    <w:rsid w:val="0039785D"/>
    <w:rsid w:val="003A0286"/>
    <w:rsid w:val="003A552A"/>
    <w:rsid w:val="003A6D5F"/>
    <w:rsid w:val="003A7849"/>
    <w:rsid w:val="003B063B"/>
    <w:rsid w:val="003B070F"/>
    <w:rsid w:val="003B22B8"/>
    <w:rsid w:val="003B38B2"/>
    <w:rsid w:val="003C2198"/>
    <w:rsid w:val="003C25F1"/>
    <w:rsid w:val="003C2EB3"/>
    <w:rsid w:val="003C573D"/>
    <w:rsid w:val="003D0F83"/>
    <w:rsid w:val="003E0E05"/>
    <w:rsid w:val="003E46BE"/>
    <w:rsid w:val="003E4C75"/>
    <w:rsid w:val="003F16B4"/>
    <w:rsid w:val="003F2770"/>
    <w:rsid w:val="003F6E2A"/>
    <w:rsid w:val="003F6F11"/>
    <w:rsid w:val="003F7BA0"/>
    <w:rsid w:val="00400B00"/>
    <w:rsid w:val="00401D32"/>
    <w:rsid w:val="00404042"/>
    <w:rsid w:val="00406027"/>
    <w:rsid w:val="00406B95"/>
    <w:rsid w:val="00412737"/>
    <w:rsid w:val="00413935"/>
    <w:rsid w:val="004218DD"/>
    <w:rsid w:val="0042233D"/>
    <w:rsid w:val="0042300D"/>
    <w:rsid w:val="00424189"/>
    <w:rsid w:val="004248E9"/>
    <w:rsid w:val="00430F96"/>
    <w:rsid w:val="00447B16"/>
    <w:rsid w:val="0045098C"/>
    <w:rsid w:val="004526C1"/>
    <w:rsid w:val="00456615"/>
    <w:rsid w:val="004573F3"/>
    <w:rsid w:val="00466277"/>
    <w:rsid w:val="00466712"/>
    <w:rsid w:val="00470894"/>
    <w:rsid w:val="00470DF2"/>
    <w:rsid w:val="004718DC"/>
    <w:rsid w:val="00473DAD"/>
    <w:rsid w:val="00474F6B"/>
    <w:rsid w:val="004816A3"/>
    <w:rsid w:val="00482361"/>
    <w:rsid w:val="00484109"/>
    <w:rsid w:val="00486D77"/>
    <w:rsid w:val="00497090"/>
    <w:rsid w:val="004A2EE1"/>
    <w:rsid w:val="004A7AA8"/>
    <w:rsid w:val="004B0761"/>
    <w:rsid w:val="004B3E1A"/>
    <w:rsid w:val="004B4A06"/>
    <w:rsid w:val="004B70B3"/>
    <w:rsid w:val="004C3B08"/>
    <w:rsid w:val="004C3DE7"/>
    <w:rsid w:val="004D0EE7"/>
    <w:rsid w:val="004D1439"/>
    <w:rsid w:val="004D1CC4"/>
    <w:rsid w:val="004D1E7F"/>
    <w:rsid w:val="004D4A5C"/>
    <w:rsid w:val="004E3D94"/>
    <w:rsid w:val="004E453E"/>
    <w:rsid w:val="004E6D2B"/>
    <w:rsid w:val="004F4F4B"/>
    <w:rsid w:val="004F5F69"/>
    <w:rsid w:val="004F6381"/>
    <w:rsid w:val="004F63F2"/>
    <w:rsid w:val="005020E7"/>
    <w:rsid w:val="00505FBB"/>
    <w:rsid w:val="00507A81"/>
    <w:rsid w:val="00507C1C"/>
    <w:rsid w:val="0052223D"/>
    <w:rsid w:val="00525BB1"/>
    <w:rsid w:val="00530631"/>
    <w:rsid w:val="00530AAF"/>
    <w:rsid w:val="005354CA"/>
    <w:rsid w:val="00540180"/>
    <w:rsid w:val="00541C61"/>
    <w:rsid w:val="00542130"/>
    <w:rsid w:val="00550BEB"/>
    <w:rsid w:val="00557D1A"/>
    <w:rsid w:val="00560D46"/>
    <w:rsid w:val="005628F0"/>
    <w:rsid w:val="00565838"/>
    <w:rsid w:val="00576CD0"/>
    <w:rsid w:val="005802DC"/>
    <w:rsid w:val="005804D2"/>
    <w:rsid w:val="005838F1"/>
    <w:rsid w:val="00583A40"/>
    <w:rsid w:val="00583FFB"/>
    <w:rsid w:val="00590741"/>
    <w:rsid w:val="005915C2"/>
    <w:rsid w:val="005A3008"/>
    <w:rsid w:val="005B5B6B"/>
    <w:rsid w:val="005B668D"/>
    <w:rsid w:val="005C0E66"/>
    <w:rsid w:val="005C2326"/>
    <w:rsid w:val="005C539F"/>
    <w:rsid w:val="005C60F3"/>
    <w:rsid w:val="005C6188"/>
    <w:rsid w:val="005D3E69"/>
    <w:rsid w:val="005D6BBE"/>
    <w:rsid w:val="005D7166"/>
    <w:rsid w:val="005D7F2F"/>
    <w:rsid w:val="005E405E"/>
    <w:rsid w:val="005E53DF"/>
    <w:rsid w:val="005E61B1"/>
    <w:rsid w:val="005F2DE7"/>
    <w:rsid w:val="005F411B"/>
    <w:rsid w:val="005F4758"/>
    <w:rsid w:val="00600DA3"/>
    <w:rsid w:val="006025E9"/>
    <w:rsid w:val="00602AC3"/>
    <w:rsid w:val="0060398B"/>
    <w:rsid w:val="00603B31"/>
    <w:rsid w:val="00604CD2"/>
    <w:rsid w:val="00610D3F"/>
    <w:rsid w:val="00627517"/>
    <w:rsid w:val="00630997"/>
    <w:rsid w:val="00631841"/>
    <w:rsid w:val="00637DFC"/>
    <w:rsid w:val="006410B8"/>
    <w:rsid w:val="006421B3"/>
    <w:rsid w:val="006439CC"/>
    <w:rsid w:val="00645A46"/>
    <w:rsid w:val="006463D3"/>
    <w:rsid w:val="00650B9C"/>
    <w:rsid w:val="00651A50"/>
    <w:rsid w:val="00651DCA"/>
    <w:rsid w:val="00655AB6"/>
    <w:rsid w:val="00656B2E"/>
    <w:rsid w:val="00673559"/>
    <w:rsid w:val="0067390E"/>
    <w:rsid w:val="0067644F"/>
    <w:rsid w:val="00676A72"/>
    <w:rsid w:val="006809EF"/>
    <w:rsid w:val="0068558B"/>
    <w:rsid w:val="00690EB8"/>
    <w:rsid w:val="00696934"/>
    <w:rsid w:val="006A0FDE"/>
    <w:rsid w:val="006A1A5F"/>
    <w:rsid w:val="006A2183"/>
    <w:rsid w:val="006A2B8B"/>
    <w:rsid w:val="006A43E6"/>
    <w:rsid w:val="006A610D"/>
    <w:rsid w:val="006A6817"/>
    <w:rsid w:val="006B0CE4"/>
    <w:rsid w:val="006B632B"/>
    <w:rsid w:val="006B7431"/>
    <w:rsid w:val="006C007C"/>
    <w:rsid w:val="006C21B6"/>
    <w:rsid w:val="006C777A"/>
    <w:rsid w:val="006D0991"/>
    <w:rsid w:val="006D0A7C"/>
    <w:rsid w:val="006D7D7B"/>
    <w:rsid w:val="006E2DD0"/>
    <w:rsid w:val="006F6DE7"/>
    <w:rsid w:val="006F71CB"/>
    <w:rsid w:val="006F7452"/>
    <w:rsid w:val="007007EE"/>
    <w:rsid w:val="00701D72"/>
    <w:rsid w:val="00702951"/>
    <w:rsid w:val="00704DBF"/>
    <w:rsid w:val="00712A06"/>
    <w:rsid w:val="00714D81"/>
    <w:rsid w:val="00717C69"/>
    <w:rsid w:val="007252EA"/>
    <w:rsid w:val="0072753C"/>
    <w:rsid w:val="00727C5B"/>
    <w:rsid w:val="0073389B"/>
    <w:rsid w:val="00736489"/>
    <w:rsid w:val="00742143"/>
    <w:rsid w:val="00746CF4"/>
    <w:rsid w:val="00757401"/>
    <w:rsid w:val="00757A8C"/>
    <w:rsid w:val="00760AFA"/>
    <w:rsid w:val="007643B1"/>
    <w:rsid w:val="00764436"/>
    <w:rsid w:val="00767ECA"/>
    <w:rsid w:val="0077179D"/>
    <w:rsid w:val="00771CC0"/>
    <w:rsid w:val="0077203D"/>
    <w:rsid w:val="0077286B"/>
    <w:rsid w:val="00772F9E"/>
    <w:rsid w:val="00782C13"/>
    <w:rsid w:val="00783DF0"/>
    <w:rsid w:val="00790FE7"/>
    <w:rsid w:val="007917AF"/>
    <w:rsid w:val="0079583F"/>
    <w:rsid w:val="007A67D7"/>
    <w:rsid w:val="007B0884"/>
    <w:rsid w:val="007B40DA"/>
    <w:rsid w:val="007C1358"/>
    <w:rsid w:val="007C427C"/>
    <w:rsid w:val="007C6C5B"/>
    <w:rsid w:val="007C7517"/>
    <w:rsid w:val="007D1992"/>
    <w:rsid w:val="007D1C78"/>
    <w:rsid w:val="007D34A5"/>
    <w:rsid w:val="007D3A55"/>
    <w:rsid w:val="007E52AE"/>
    <w:rsid w:val="007F50DE"/>
    <w:rsid w:val="007F7DC2"/>
    <w:rsid w:val="008004F4"/>
    <w:rsid w:val="0080160A"/>
    <w:rsid w:val="00807FB3"/>
    <w:rsid w:val="008125A1"/>
    <w:rsid w:val="00823425"/>
    <w:rsid w:val="00823A36"/>
    <w:rsid w:val="008341C8"/>
    <w:rsid w:val="00853534"/>
    <w:rsid w:val="008540A6"/>
    <w:rsid w:val="008557FF"/>
    <w:rsid w:val="008558C3"/>
    <w:rsid w:val="00860155"/>
    <w:rsid w:val="008641A3"/>
    <w:rsid w:val="00864DB8"/>
    <w:rsid w:val="00871E8B"/>
    <w:rsid w:val="00875987"/>
    <w:rsid w:val="008777C9"/>
    <w:rsid w:val="0087789C"/>
    <w:rsid w:val="008961BA"/>
    <w:rsid w:val="008975E6"/>
    <w:rsid w:val="008A54A8"/>
    <w:rsid w:val="008A5CBC"/>
    <w:rsid w:val="008A64AC"/>
    <w:rsid w:val="008A67D1"/>
    <w:rsid w:val="008A6F4F"/>
    <w:rsid w:val="008B1D20"/>
    <w:rsid w:val="008B32BA"/>
    <w:rsid w:val="008B4B4F"/>
    <w:rsid w:val="008B64D2"/>
    <w:rsid w:val="008B6D0B"/>
    <w:rsid w:val="008C0DAF"/>
    <w:rsid w:val="008C32C9"/>
    <w:rsid w:val="008E0E2C"/>
    <w:rsid w:val="008E3DF7"/>
    <w:rsid w:val="008E71B0"/>
    <w:rsid w:val="008F0689"/>
    <w:rsid w:val="008F1EB9"/>
    <w:rsid w:val="008F227E"/>
    <w:rsid w:val="008F2459"/>
    <w:rsid w:val="008F6285"/>
    <w:rsid w:val="008F63DD"/>
    <w:rsid w:val="00900013"/>
    <w:rsid w:val="00903681"/>
    <w:rsid w:val="0090542D"/>
    <w:rsid w:val="00907B8C"/>
    <w:rsid w:val="00910784"/>
    <w:rsid w:val="00911C53"/>
    <w:rsid w:val="00914FD5"/>
    <w:rsid w:val="00916498"/>
    <w:rsid w:val="009202F2"/>
    <w:rsid w:val="00922C0E"/>
    <w:rsid w:val="00922D17"/>
    <w:rsid w:val="00931026"/>
    <w:rsid w:val="00933585"/>
    <w:rsid w:val="0093445F"/>
    <w:rsid w:val="00936E11"/>
    <w:rsid w:val="00937220"/>
    <w:rsid w:val="009409AB"/>
    <w:rsid w:val="009418F8"/>
    <w:rsid w:val="0095088F"/>
    <w:rsid w:val="009528DB"/>
    <w:rsid w:val="009537D2"/>
    <w:rsid w:val="0096277B"/>
    <w:rsid w:val="009633F7"/>
    <w:rsid w:val="00966CD6"/>
    <w:rsid w:val="0096724B"/>
    <w:rsid w:val="009729E9"/>
    <w:rsid w:val="009732BF"/>
    <w:rsid w:val="0098002F"/>
    <w:rsid w:val="00982F34"/>
    <w:rsid w:val="009842DF"/>
    <w:rsid w:val="00987FC6"/>
    <w:rsid w:val="00990DF0"/>
    <w:rsid w:val="00991A74"/>
    <w:rsid w:val="00993B8A"/>
    <w:rsid w:val="00995E58"/>
    <w:rsid w:val="00997FE0"/>
    <w:rsid w:val="009A1E13"/>
    <w:rsid w:val="009B0F9D"/>
    <w:rsid w:val="009C1256"/>
    <w:rsid w:val="009D358D"/>
    <w:rsid w:val="009D35B6"/>
    <w:rsid w:val="009D5A38"/>
    <w:rsid w:val="009D74B8"/>
    <w:rsid w:val="009E1CA5"/>
    <w:rsid w:val="009E29E7"/>
    <w:rsid w:val="009E3405"/>
    <w:rsid w:val="009E4E45"/>
    <w:rsid w:val="009E5484"/>
    <w:rsid w:val="009F3BA3"/>
    <w:rsid w:val="009F4AD3"/>
    <w:rsid w:val="00A02390"/>
    <w:rsid w:val="00A04729"/>
    <w:rsid w:val="00A05803"/>
    <w:rsid w:val="00A0686B"/>
    <w:rsid w:val="00A0761E"/>
    <w:rsid w:val="00A1179A"/>
    <w:rsid w:val="00A118F3"/>
    <w:rsid w:val="00A16852"/>
    <w:rsid w:val="00A20D54"/>
    <w:rsid w:val="00A25093"/>
    <w:rsid w:val="00A276FB"/>
    <w:rsid w:val="00A308EC"/>
    <w:rsid w:val="00A3141B"/>
    <w:rsid w:val="00A31C30"/>
    <w:rsid w:val="00A3234F"/>
    <w:rsid w:val="00A335B6"/>
    <w:rsid w:val="00A4061C"/>
    <w:rsid w:val="00A43989"/>
    <w:rsid w:val="00A51D95"/>
    <w:rsid w:val="00A521A6"/>
    <w:rsid w:val="00A5395F"/>
    <w:rsid w:val="00A5498A"/>
    <w:rsid w:val="00A54E1D"/>
    <w:rsid w:val="00A57769"/>
    <w:rsid w:val="00A602D0"/>
    <w:rsid w:val="00A60FFC"/>
    <w:rsid w:val="00A61E81"/>
    <w:rsid w:val="00A70D33"/>
    <w:rsid w:val="00A71044"/>
    <w:rsid w:val="00A74878"/>
    <w:rsid w:val="00A74D4A"/>
    <w:rsid w:val="00A7565F"/>
    <w:rsid w:val="00A75E4B"/>
    <w:rsid w:val="00A7630B"/>
    <w:rsid w:val="00A77EC1"/>
    <w:rsid w:val="00A80A86"/>
    <w:rsid w:val="00A80E34"/>
    <w:rsid w:val="00A863B1"/>
    <w:rsid w:val="00A863BA"/>
    <w:rsid w:val="00A91F06"/>
    <w:rsid w:val="00A95645"/>
    <w:rsid w:val="00AA0E9F"/>
    <w:rsid w:val="00AA45E8"/>
    <w:rsid w:val="00AA5125"/>
    <w:rsid w:val="00AA6663"/>
    <w:rsid w:val="00AA6D80"/>
    <w:rsid w:val="00AB1227"/>
    <w:rsid w:val="00AB146B"/>
    <w:rsid w:val="00AB7885"/>
    <w:rsid w:val="00AC4313"/>
    <w:rsid w:val="00AD7051"/>
    <w:rsid w:val="00AE0EEC"/>
    <w:rsid w:val="00AE72B4"/>
    <w:rsid w:val="00AF6E74"/>
    <w:rsid w:val="00B03291"/>
    <w:rsid w:val="00B03B44"/>
    <w:rsid w:val="00B0590B"/>
    <w:rsid w:val="00B059F7"/>
    <w:rsid w:val="00B067B1"/>
    <w:rsid w:val="00B12577"/>
    <w:rsid w:val="00B12D97"/>
    <w:rsid w:val="00B1467E"/>
    <w:rsid w:val="00B14AE8"/>
    <w:rsid w:val="00B179A4"/>
    <w:rsid w:val="00B30633"/>
    <w:rsid w:val="00B33321"/>
    <w:rsid w:val="00B36C23"/>
    <w:rsid w:val="00B51B3E"/>
    <w:rsid w:val="00B634A5"/>
    <w:rsid w:val="00B76236"/>
    <w:rsid w:val="00B80A4D"/>
    <w:rsid w:val="00B81603"/>
    <w:rsid w:val="00B86804"/>
    <w:rsid w:val="00B906D8"/>
    <w:rsid w:val="00B91856"/>
    <w:rsid w:val="00B934EE"/>
    <w:rsid w:val="00B93C3A"/>
    <w:rsid w:val="00BA4066"/>
    <w:rsid w:val="00BA44C9"/>
    <w:rsid w:val="00BB1893"/>
    <w:rsid w:val="00BB30AE"/>
    <w:rsid w:val="00BB3EC5"/>
    <w:rsid w:val="00BB7A4B"/>
    <w:rsid w:val="00BC056B"/>
    <w:rsid w:val="00BC7062"/>
    <w:rsid w:val="00BD06C9"/>
    <w:rsid w:val="00BD6156"/>
    <w:rsid w:val="00BD7E95"/>
    <w:rsid w:val="00BE47B6"/>
    <w:rsid w:val="00BE5548"/>
    <w:rsid w:val="00BE67F8"/>
    <w:rsid w:val="00BF4CC8"/>
    <w:rsid w:val="00C00659"/>
    <w:rsid w:val="00C04D25"/>
    <w:rsid w:val="00C04E64"/>
    <w:rsid w:val="00C10220"/>
    <w:rsid w:val="00C119B8"/>
    <w:rsid w:val="00C119DE"/>
    <w:rsid w:val="00C12D71"/>
    <w:rsid w:val="00C24E34"/>
    <w:rsid w:val="00C30423"/>
    <w:rsid w:val="00C309AA"/>
    <w:rsid w:val="00C31053"/>
    <w:rsid w:val="00C31453"/>
    <w:rsid w:val="00C357B1"/>
    <w:rsid w:val="00C41F8E"/>
    <w:rsid w:val="00C42D32"/>
    <w:rsid w:val="00C43BE8"/>
    <w:rsid w:val="00C50D72"/>
    <w:rsid w:val="00C52DD9"/>
    <w:rsid w:val="00C545D5"/>
    <w:rsid w:val="00C56836"/>
    <w:rsid w:val="00C57818"/>
    <w:rsid w:val="00C60094"/>
    <w:rsid w:val="00C6141E"/>
    <w:rsid w:val="00C64C36"/>
    <w:rsid w:val="00C654B2"/>
    <w:rsid w:val="00C66842"/>
    <w:rsid w:val="00C71BE0"/>
    <w:rsid w:val="00C75143"/>
    <w:rsid w:val="00C75657"/>
    <w:rsid w:val="00C77E24"/>
    <w:rsid w:val="00C826CC"/>
    <w:rsid w:val="00C84431"/>
    <w:rsid w:val="00C845CA"/>
    <w:rsid w:val="00C9371C"/>
    <w:rsid w:val="00C93B87"/>
    <w:rsid w:val="00CA4E10"/>
    <w:rsid w:val="00CA6246"/>
    <w:rsid w:val="00CB7FE8"/>
    <w:rsid w:val="00CC1A3B"/>
    <w:rsid w:val="00CC4363"/>
    <w:rsid w:val="00CD06F0"/>
    <w:rsid w:val="00CD16F2"/>
    <w:rsid w:val="00CD51E7"/>
    <w:rsid w:val="00CE1926"/>
    <w:rsid w:val="00CE53D8"/>
    <w:rsid w:val="00CE6564"/>
    <w:rsid w:val="00CF06BA"/>
    <w:rsid w:val="00CF09BF"/>
    <w:rsid w:val="00CF7CC1"/>
    <w:rsid w:val="00D02F51"/>
    <w:rsid w:val="00D108CD"/>
    <w:rsid w:val="00D12A93"/>
    <w:rsid w:val="00D140CB"/>
    <w:rsid w:val="00D1415F"/>
    <w:rsid w:val="00D15291"/>
    <w:rsid w:val="00D24F49"/>
    <w:rsid w:val="00D25FB2"/>
    <w:rsid w:val="00D27931"/>
    <w:rsid w:val="00D27A56"/>
    <w:rsid w:val="00D35920"/>
    <w:rsid w:val="00D430EE"/>
    <w:rsid w:val="00D44CFC"/>
    <w:rsid w:val="00D52269"/>
    <w:rsid w:val="00D612DA"/>
    <w:rsid w:val="00D63E1E"/>
    <w:rsid w:val="00D66A28"/>
    <w:rsid w:val="00D70005"/>
    <w:rsid w:val="00D76EC1"/>
    <w:rsid w:val="00D77CC7"/>
    <w:rsid w:val="00D8470E"/>
    <w:rsid w:val="00D85D32"/>
    <w:rsid w:val="00D87E99"/>
    <w:rsid w:val="00D92160"/>
    <w:rsid w:val="00D934E8"/>
    <w:rsid w:val="00D93CEF"/>
    <w:rsid w:val="00DA2044"/>
    <w:rsid w:val="00DA3D09"/>
    <w:rsid w:val="00DA545F"/>
    <w:rsid w:val="00DB2881"/>
    <w:rsid w:val="00DB49B0"/>
    <w:rsid w:val="00DB4EDE"/>
    <w:rsid w:val="00DB5035"/>
    <w:rsid w:val="00DB7327"/>
    <w:rsid w:val="00DC0D6E"/>
    <w:rsid w:val="00DC1B65"/>
    <w:rsid w:val="00DC1DA8"/>
    <w:rsid w:val="00DE11FF"/>
    <w:rsid w:val="00DE1EBA"/>
    <w:rsid w:val="00DE2C20"/>
    <w:rsid w:val="00DF0A74"/>
    <w:rsid w:val="00DF526A"/>
    <w:rsid w:val="00E0219A"/>
    <w:rsid w:val="00E0774F"/>
    <w:rsid w:val="00E10CA9"/>
    <w:rsid w:val="00E117F8"/>
    <w:rsid w:val="00E12D86"/>
    <w:rsid w:val="00E170A0"/>
    <w:rsid w:val="00E17800"/>
    <w:rsid w:val="00E20547"/>
    <w:rsid w:val="00E21269"/>
    <w:rsid w:val="00E23E3F"/>
    <w:rsid w:val="00E36D13"/>
    <w:rsid w:val="00E37E75"/>
    <w:rsid w:val="00E407B0"/>
    <w:rsid w:val="00E459B4"/>
    <w:rsid w:val="00E54959"/>
    <w:rsid w:val="00E64774"/>
    <w:rsid w:val="00E653FD"/>
    <w:rsid w:val="00E743D4"/>
    <w:rsid w:val="00E768E9"/>
    <w:rsid w:val="00E7782D"/>
    <w:rsid w:val="00E80CA8"/>
    <w:rsid w:val="00E83A7E"/>
    <w:rsid w:val="00E84C1C"/>
    <w:rsid w:val="00E854C7"/>
    <w:rsid w:val="00E86590"/>
    <w:rsid w:val="00E87DB2"/>
    <w:rsid w:val="00E9233C"/>
    <w:rsid w:val="00E94082"/>
    <w:rsid w:val="00EA24D0"/>
    <w:rsid w:val="00EA3496"/>
    <w:rsid w:val="00EA4234"/>
    <w:rsid w:val="00EB17DF"/>
    <w:rsid w:val="00EB25FD"/>
    <w:rsid w:val="00EB31ED"/>
    <w:rsid w:val="00EB60FA"/>
    <w:rsid w:val="00EC24DA"/>
    <w:rsid w:val="00EC36C1"/>
    <w:rsid w:val="00EC4EF9"/>
    <w:rsid w:val="00EC77A3"/>
    <w:rsid w:val="00ED1CB0"/>
    <w:rsid w:val="00ED3355"/>
    <w:rsid w:val="00EE45C7"/>
    <w:rsid w:val="00EE469F"/>
    <w:rsid w:val="00EE4DBE"/>
    <w:rsid w:val="00EF42DE"/>
    <w:rsid w:val="00EF6301"/>
    <w:rsid w:val="00F04D3B"/>
    <w:rsid w:val="00F0626E"/>
    <w:rsid w:val="00F1074C"/>
    <w:rsid w:val="00F10EC5"/>
    <w:rsid w:val="00F12788"/>
    <w:rsid w:val="00F131EF"/>
    <w:rsid w:val="00F15672"/>
    <w:rsid w:val="00F17579"/>
    <w:rsid w:val="00F17F2B"/>
    <w:rsid w:val="00F203C9"/>
    <w:rsid w:val="00F2148A"/>
    <w:rsid w:val="00F23080"/>
    <w:rsid w:val="00F24156"/>
    <w:rsid w:val="00F24EED"/>
    <w:rsid w:val="00F30E4A"/>
    <w:rsid w:val="00F34A74"/>
    <w:rsid w:val="00F37184"/>
    <w:rsid w:val="00F376F9"/>
    <w:rsid w:val="00F41FCB"/>
    <w:rsid w:val="00F459A7"/>
    <w:rsid w:val="00F5038E"/>
    <w:rsid w:val="00F53A65"/>
    <w:rsid w:val="00F57703"/>
    <w:rsid w:val="00F60C43"/>
    <w:rsid w:val="00F63AC1"/>
    <w:rsid w:val="00F677AC"/>
    <w:rsid w:val="00F74FEB"/>
    <w:rsid w:val="00F75879"/>
    <w:rsid w:val="00F762D2"/>
    <w:rsid w:val="00F83A8B"/>
    <w:rsid w:val="00F8521A"/>
    <w:rsid w:val="00F860E2"/>
    <w:rsid w:val="00F93D11"/>
    <w:rsid w:val="00F96D6C"/>
    <w:rsid w:val="00F96DC5"/>
    <w:rsid w:val="00FA003E"/>
    <w:rsid w:val="00FB118B"/>
    <w:rsid w:val="00FB33A0"/>
    <w:rsid w:val="00FB5491"/>
    <w:rsid w:val="00FB6358"/>
    <w:rsid w:val="00FB66CB"/>
    <w:rsid w:val="00FB71B0"/>
    <w:rsid w:val="00FC1D32"/>
    <w:rsid w:val="00FC67B8"/>
    <w:rsid w:val="00FD0C2C"/>
    <w:rsid w:val="00FE11CA"/>
    <w:rsid w:val="00FE4E8F"/>
    <w:rsid w:val="00FF0B00"/>
    <w:rsid w:val="00FF3C9A"/>
    <w:rsid w:val="00FF7A24"/>
    <w:rsid w:val="01F869A0"/>
    <w:rsid w:val="2C3704A5"/>
    <w:rsid w:val="2EBA06F2"/>
    <w:rsid w:val="3F1F7707"/>
    <w:rsid w:val="3FF73ECA"/>
    <w:rsid w:val="4B96496F"/>
    <w:rsid w:val="6FBFFF6D"/>
    <w:rsid w:val="72AF481F"/>
    <w:rsid w:val="73FFDFC5"/>
    <w:rsid w:val="7A9D51A5"/>
    <w:rsid w:val="7B5E8EF1"/>
    <w:rsid w:val="7BFDC5D3"/>
    <w:rsid w:val="7FDD65C8"/>
    <w:rsid w:val="7FE54A8A"/>
    <w:rsid w:val="CFBF47B9"/>
    <w:rsid w:val="F3BB02EE"/>
    <w:rsid w:val="FCFFFC6F"/>
    <w:rsid w:val="FD2F8A2A"/>
    <w:rsid w:val="FE7B113F"/>
    <w:rsid w:val="FFC91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99"/>
    <w:pPr>
      <w:ind w:left="200" w:leftChars="200"/>
    </w:pPr>
  </w:style>
  <w:style w:type="paragraph" w:styleId="5">
    <w:name w:val="Balloon Text"/>
    <w:basedOn w:val="1"/>
    <w:link w:val="23"/>
    <w:semiHidden/>
    <w:unhideWhenUsed/>
    <w:qFormat/>
    <w:uiPriority w:val="99"/>
    <w:rPr>
      <w:sz w:val="18"/>
      <w:szCs w:val="18"/>
    </w:rPr>
  </w:style>
  <w:style w:type="paragraph" w:styleId="6">
    <w:name w:val="footer"/>
    <w:basedOn w:val="1"/>
    <w:link w:val="22"/>
    <w:unhideWhenUsed/>
    <w:qFormat/>
    <w:uiPriority w:val="99"/>
    <w:pPr>
      <w:tabs>
        <w:tab w:val="center" w:pos="4153"/>
        <w:tab w:val="right" w:pos="8306"/>
      </w:tabs>
      <w:snapToGrid w:val="0"/>
      <w:jc w:val="left"/>
    </w:pPr>
    <w:rPr>
      <w:sz w:val="18"/>
      <w:szCs w:val="18"/>
    </w:rPr>
  </w:style>
  <w:style w:type="paragraph" w:styleId="7">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Autospacing="1" w:after="0" w:afterAutospacing="1"/>
      <w:jc w:val="left"/>
    </w:pPr>
    <w:rPr>
      <w:rFonts w:cs="Times New Roman"/>
      <w:kern w:val="0"/>
      <w:sz w:val="24"/>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bCs/>
    </w:rPr>
  </w:style>
  <w:style w:type="character" w:styleId="14">
    <w:name w:val="Emphasis"/>
    <w:basedOn w:val="12"/>
    <w:qFormat/>
    <w:uiPriority w:val="20"/>
    <w:rPr>
      <w:i/>
      <w:iCs/>
    </w:rPr>
  </w:style>
  <w:style w:type="paragraph" w:styleId="15">
    <w:name w:val="List Paragraph"/>
    <w:basedOn w:val="1"/>
    <w:qFormat/>
    <w:uiPriority w:val="34"/>
    <w:pPr>
      <w:ind w:firstLine="420" w:firstLineChars="200"/>
    </w:pPr>
  </w:style>
  <w:style w:type="character" w:customStyle="1" w:styleId="16">
    <w:name w:val="标题 2 Char"/>
    <w:basedOn w:val="12"/>
    <w:link w:val="3"/>
    <w:qFormat/>
    <w:uiPriority w:val="9"/>
    <w:rPr>
      <w:rFonts w:asciiTheme="majorHAnsi" w:hAnsiTheme="majorHAnsi" w:eastAsiaTheme="majorEastAsia" w:cstheme="majorBidi"/>
      <w:b/>
      <w:bCs/>
      <w:sz w:val="32"/>
      <w:szCs w:val="32"/>
    </w:rPr>
  </w:style>
  <w:style w:type="character" w:customStyle="1" w:styleId="17">
    <w:name w:val="标题 3 Char"/>
    <w:basedOn w:val="12"/>
    <w:link w:val="4"/>
    <w:qFormat/>
    <w:uiPriority w:val="9"/>
    <w:rPr>
      <w:b/>
      <w:bCs/>
      <w:sz w:val="32"/>
      <w:szCs w:val="32"/>
    </w:rPr>
  </w:style>
  <w:style w:type="character" w:customStyle="1" w:styleId="18">
    <w:name w:val="标题 Char"/>
    <w:basedOn w:val="12"/>
    <w:link w:val="9"/>
    <w:qFormat/>
    <w:uiPriority w:val="10"/>
    <w:rPr>
      <w:rFonts w:eastAsia="宋体" w:asciiTheme="majorHAnsi" w:hAnsiTheme="majorHAnsi" w:cstheme="majorBidi"/>
      <w:b/>
      <w:bCs/>
      <w:sz w:val="32"/>
      <w:szCs w:val="32"/>
    </w:rPr>
  </w:style>
  <w:style w:type="paragraph" w:customStyle="1" w:styleId="19">
    <w:name w:val="段"/>
    <w:link w:val="20"/>
    <w:qFormat/>
    <w:uiPriority w:val="0"/>
    <w:pPr>
      <w:tabs>
        <w:tab w:val="center" w:pos="4201"/>
        <w:tab w:val="right" w:leader="dot" w:pos="9298"/>
      </w:tabs>
      <w:autoSpaceDE w:val="0"/>
      <w:autoSpaceDN w:val="0"/>
      <w:spacing w:after="160" w:line="278" w:lineRule="auto"/>
      <w:ind w:firstLine="420" w:firstLineChars="200"/>
      <w:jc w:val="both"/>
    </w:pPr>
    <w:rPr>
      <w:rFonts w:ascii="宋体" w:hAnsi="Times New Roman" w:eastAsia="宋体" w:cs="Times New Roman"/>
      <w:sz w:val="21"/>
      <w:lang w:val="en-US" w:eastAsia="zh-CN" w:bidi="ar-SA"/>
    </w:rPr>
  </w:style>
  <w:style w:type="character" w:customStyle="1" w:styleId="20">
    <w:name w:val="段 Char"/>
    <w:link w:val="19"/>
    <w:qFormat/>
    <w:uiPriority w:val="0"/>
    <w:rPr>
      <w:rFonts w:ascii="宋体" w:hAnsi="Times New Roman" w:eastAsia="宋体" w:cs="Times New Roman"/>
      <w:kern w:val="0"/>
      <w:szCs w:val="20"/>
    </w:rPr>
  </w:style>
  <w:style w:type="character" w:customStyle="1" w:styleId="21">
    <w:name w:val="页眉 Char"/>
    <w:basedOn w:val="12"/>
    <w:link w:val="7"/>
    <w:qFormat/>
    <w:uiPriority w:val="99"/>
    <w:rPr>
      <w:sz w:val="18"/>
      <w:szCs w:val="18"/>
    </w:rPr>
  </w:style>
  <w:style w:type="character" w:customStyle="1" w:styleId="22">
    <w:name w:val="页脚 Char"/>
    <w:basedOn w:val="12"/>
    <w:link w:val="6"/>
    <w:qFormat/>
    <w:uiPriority w:val="99"/>
    <w:rPr>
      <w:sz w:val="18"/>
      <w:szCs w:val="18"/>
    </w:rPr>
  </w:style>
  <w:style w:type="character" w:customStyle="1" w:styleId="23">
    <w:name w:val="批注框文本 Char"/>
    <w:basedOn w:val="12"/>
    <w:link w:val="5"/>
    <w:semiHidden/>
    <w:qFormat/>
    <w:uiPriority w:val="99"/>
    <w:rPr>
      <w:sz w:val="18"/>
      <w:szCs w:val="18"/>
    </w:rPr>
  </w:style>
  <w:style w:type="paragraph" w:customStyle="1" w:styleId="24">
    <w:name w:val="标准文件_段"/>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1160</Words>
  <Characters>6616</Characters>
  <Lines>55</Lines>
  <Paragraphs>15</Paragraphs>
  <TotalTime>1</TotalTime>
  <ScaleCrop>false</ScaleCrop>
  <LinksUpToDate>false</LinksUpToDate>
  <CharactersWithSpaces>7761</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2024-11-06T09:14:00Z</dcterms:created>
  <dc:creator>Administrator</dc:creator>
  <cp:lastModifiedBy>nyncbuser</cp:lastModifiedBy>
  <cp:lastPrinted>2021-12-16T06:45:00Z</cp:lastPrinted>
  <dcterms:modified xsi:type="dcterms:W3CDTF">2024-11-07T10:06:06Z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0B0290E9BD5E4D549F80411D270A09EB_12</vt:lpwstr>
  </property>
</Properties>
</file>